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jc w:val="center"/>
        <w:rPr>
          <w:rFonts w:ascii="黑体" w:hAnsi="黑体" w:eastAsia="黑体" w:cs="黑体"/>
          <w:sz w:val="52"/>
          <w:szCs w:val="52"/>
        </w:rPr>
      </w:pPr>
      <w:r>
        <w:rPr>
          <w:rFonts w:hint="eastAsia" w:ascii="黑体" w:hAnsi="黑体" w:eastAsia="黑体" w:cs="黑体"/>
          <w:sz w:val="52"/>
          <w:szCs w:val="52"/>
        </w:rPr>
        <w:t>2020年度</w:t>
      </w:r>
    </w:p>
    <w:p>
      <w:pPr>
        <w:jc w:val="center"/>
        <w:rPr>
          <w:rFonts w:ascii="黑体" w:hAnsi="黑体" w:eastAsia="黑体" w:cs="黑体"/>
          <w:sz w:val="52"/>
          <w:szCs w:val="52"/>
        </w:rPr>
      </w:pPr>
      <w:r>
        <w:rPr>
          <w:rFonts w:hint="eastAsia" w:ascii="黑体" w:hAnsi="黑体" w:eastAsia="黑体" w:cs="黑体"/>
          <w:sz w:val="52"/>
          <w:szCs w:val="52"/>
        </w:rPr>
        <w:t>焦作市马村区人民检察院</w:t>
      </w:r>
    </w:p>
    <w:p>
      <w:pPr>
        <w:jc w:val="center"/>
        <w:rPr>
          <w:rFonts w:ascii="黑体" w:hAnsi="黑体" w:eastAsia="黑体" w:cs="黑体"/>
          <w:sz w:val="52"/>
          <w:szCs w:val="52"/>
        </w:rPr>
      </w:pPr>
      <w:r>
        <w:rPr>
          <w:rFonts w:hint="eastAsia" w:ascii="黑体" w:hAnsi="黑体" w:eastAsia="黑体" w:cs="黑体"/>
          <w:sz w:val="52"/>
          <w:szCs w:val="52"/>
        </w:rPr>
        <w:t>部门决算</w:t>
      </w: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32"/>
          <w:szCs w:val="32"/>
        </w:rPr>
        <w:sectPr>
          <w:pgSz w:w="11906" w:h="16838"/>
          <w:pgMar w:top="1440" w:right="1531" w:bottom="1440" w:left="1587" w:header="850" w:footer="992" w:gutter="0"/>
          <w:pgNumType w:fmt="numberInDash"/>
          <w:cols w:space="720" w:num="1"/>
          <w:docGrid w:type="lines" w:linePitch="317" w:charSpace="0"/>
        </w:sectPr>
      </w:pPr>
      <w:r>
        <w:rPr>
          <w:rFonts w:hint="eastAsia" w:ascii="黑体" w:hAnsi="黑体" w:eastAsia="黑体" w:cs="黑体"/>
          <w:sz w:val="32"/>
          <w:szCs w:val="32"/>
        </w:rPr>
        <w:t>二〇二一年九月</w:t>
      </w:r>
    </w:p>
    <w:p>
      <w:pPr>
        <w:jc w:val="center"/>
        <w:rPr>
          <w:rFonts w:ascii="黑体" w:hAnsi="黑体" w:eastAsia="黑体" w:cs="黑体"/>
          <w:sz w:val="36"/>
          <w:szCs w:val="36"/>
        </w:rPr>
      </w:pPr>
      <w:r>
        <w:rPr>
          <w:rFonts w:hint="eastAsia" w:ascii="黑体" w:hAnsi="黑体" w:eastAsia="黑体" w:cs="黑体"/>
          <w:sz w:val="36"/>
          <w:szCs w:val="36"/>
        </w:rPr>
        <w:t>目　　录</w:t>
      </w:r>
    </w:p>
    <w:p>
      <w:pPr>
        <w:jc w:val="left"/>
        <w:rPr>
          <w:rFonts w:ascii="黑体" w:hAnsi="黑体" w:eastAsia="黑体" w:cs="黑体"/>
          <w:sz w:val="32"/>
          <w:szCs w:val="32"/>
        </w:rPr>
      </w:pPr>
      <w:r>
        <w:rPr>
          <w:rFonts w:hint="eastAsia" w:ascii="黑体" w:hAnsi="黑体" w:eastAsia="黑体" w:cs="黑体"/>
          <w:sz w:val="32"/>
          <w:szCs w:val="32"/>
        </w:rPr>
        <w:t>第一部分　　焦作市马村区人民检察院概况</w:t>
      </w:r>
    </w:p>
    <w:p>
      <w:pPr>
        <w:numPr>
          <w:ilvl w:val="0"/>
          <w:numId w:val="1"/>
        </w:numPr>
        <w:ind w:firstLine="640" w:firstLineChars="200"/>
        <w:jc w:val="left"/>
        <w:rPr>
          <w:rFonts w:ascii="宋体" w:hAnsi="宋体" w:cs="宋体"/>
          <w:sz w:val="32"/>
          <w:szCs w:val="32"/>
        </w:rPr>
      </w:pPr>
      <w:r>
        <w:rPr>
          <w:rFonts w:hint="eastAsia" w:ascii="宋体" w:hAnsi="宋体" w:cs="宋体"/>
          <w:sz w:val="32"/>
          <w:szCs w:val="32"/>
        </w:rPr>
        <w:t>部门职责</w:t>
      </w:r>
    </w:p>
    <w:p>
      <w:pPr>
        <w:numPr>
          <w:ilvl w:val="0"/>
          <w:numId w:val="1"/>
        </w:numPr>
        <w:ind w:firstLine="640" w:firstLineChars="200"/>
        <w:jc w:val="left"/>
        <w:rPr>
          <w:rFonts w:ascii="宋体" w:hAnsi="宋体" w:cs="宋体"/>
          <w:sz w:val="32"/>
          <w:szCs w:val="32"/>
        </w:rPr>
      </w:pPr>
      <w:r>
        <w:rPr>
          <w:rFonts w:hint="eastAsia" w:ascii="宋体" w:hAnsi="宋体" w:cs="宋体"/>
          <w:sz w:val="32"/>
          <w:szCs w:val="32"/>
        </w:rPr>
        <w:t>机构设置</w:t>
      </w:r>
    </w:p>
    <w:p>
      <w:pPr>
        <w:jc w:val="left"/>
        <w:rPr>
          <w:rFonts w:ascii="黑体" w:hAnsi="黑体" w:eastAsia="黑体" w:cs="黑体"/>
          <w:sz w:val="32"/>
          <w:szCs w:val="32"/>
        </w:rPr>
      </w:pPr>
      <w:r>
        <w:rPr>
          <w:rFonts w:hint="eastAsia" w:ascii="黑体" w:hAnsi="黑体" w:eastAsia="黑体" w:cs="黑体"/>
          <w:sz w:val="32"/>
          <w:szCs w:val="32"/>
        </w:rPr>
        <w:t>第二部分　　2020年度部门决算表</w:t>
      </w:r>
    </w:p>
    <w:p>
      <w:pPr>
        <w:ind w:firstLine="640" w:firstLineChars="200"/>
        <w:jc w:val="left"/>
        <w:rPr>
          <w:rFonts w:ascii="宋体" w:hAnsi="宋体" w:cs="宋体"/>
          <w:sz w:val="32"/>
          <w:szCs w:val="32"/>
        </w:rPr>
      </w:pPr>
      <w:r>
        <w:rPr>
          <w:rFonts w:hint="eastAsia" w:ascii="宋体" w:hAnsi="宋体" w:cs="宋体"/>
          <w:sz w:val="32"/>
          <w:szCs w:val="32"/>
        </w:rPr>
        <w:t>一、收入支出决算总表</w:t>
      </w:r>
    </w:p>
    <w:p>
      <w:pPr>
        <w:ind w:firstLine="640" w:firstLineChars="200"/>
        <w:jc w:val="left"/>
        <w:rPr>
          <w:rFonts w:ascii="宋体" w:hAnsi="宋体" w:cs="宋体"/>
          <w:sz w:val="32"/>
          <w:szCs w:val="32"/>
        </w:rPr>
      </w:pPr>
      <w:r>
        <w:rPr>
          <w:rFonts w:hint="eastAsia" w:ascii="宋体" w:hAnsi="宋体" w:cs="宋体"/>
          <w:sz w:val="32"/>
          <w:szCs w:val="32"/>
        </w:rPr>
        <w:t>二、收入决算表</w:t>
      </w:r>
    </w:p>
    <w:p>
      <w:pPr>
        <w:ind w:firstLine="640" w:firstLineChars="200"/>
        <w:jc w:val="left"/>
        <w:rPr>
          <w:rFonts w:ascii="宋体" w:hAnsi="宋体" w:cs="宋体"/>
          <w:sz w:val="32"/>
          <w:szCs w:val="32"/>
        </w:rPr>
      </w:pPr>
      <w:r>
        <w:rPr>
          <w:rFonts w:hint="eastAsia" w:ascii="宋体" w:hAnsi="宋体" w:cs="宋体"/>
          <w:sz w:val="32"/>
          <w:szCs w:val="32"/>
        </w:rPr>
        <w:t>三、支出决算表</w:t>
      </w:r>
    </w:p>
    <w:p>
      <w:pPr>
        <w:ind w:firstLine="640" w:firstLineChars="200"/>
        <w:jc w:val="left"/>
        <w:rPr>
          <w:rFonts w:ascii="宋体" w:hAnsi="宋体" w:cs="宋体"/>
          <w:sz w:val="32"/>
          <w:szCs w:val="32"/>
        </w:rPr>
      </w:pPr>
      <w:r>
        <w:rPr>
          <w:rFonts w:hint="eastAsia" w:ascii="宋体" w:hAnsi="宋体" w:cs="宋体"/>
          <w:sz w:val="32"/>
          <w:szCs w:val="32"/>
        </w:rPr>
        <w:t>四、财政拨款收入支出决算总表</w:t>
      </w:r>
    </w:p>
    <w:p>
      <w:pPr>
        <w:ind w:firstLine="640" w:firstLineChars="200"/>
        <w:jc w:val="left"/>
        <w:rPr>
          <w:rFonts w:ascii="宋体" w:hAnsi="宋体" w:cs="宋体"/>
          <w:sz w:val="32"/>
          <w:szCs w:val="32"/>
        </w:rPr>
      </w:pPr>
      <w:r>
        <w:rPr>
          <w:rFonts w:hint="eastAsia" w:ascii="宋体" w:hAnsi="宋体" w:cs="宋体"/>
          <w:sz w:val="32"/>
          <w:szCs w:val="32"/>
        </w:rPr>
        <w:t>五、一般公共预算财政拨款支出决算表</w:t>
      </w:r>
    </w:p>
    <w:p>
      <w:pPr>
        <w:ind w:firstLine="640" w:firstLineChars="200"/>
        <w:jc w:val="left"/>
        <w:rPr>
          <w:rFonts w:ascii="宋体" w:hAnsi="宋体" w:cs="宋体"/>
          <w:sz w:val="32"/>
          <w:szCs w:val="32"/>
        </w:rPr>
      </w:pPr>
      <w:r>
        <w:rPr>
          <w:rFonts w:hint="eastAsia" w:ascii="宋体" w:hAnsi="宋体" w:cs="宋体"/>
          <w:sz w:val="32"/>
          <w:szCs w:val="32"/>
        </w:rPr>
        <w:t>六、一般公共预算财政拨款基本支出决算表</w:t>
      </w:r>
    </w:p>
    <w:p>
      <w:pPr>
        <w:ind w:firstLine="640" w:firstLineChars="200"/>
        <w:jc w:val="left"/>
        <w:rPr>
          <w:rFonts w:ascii="宋体" w:hAnsi="宋体" w:cs="宋体"/>
          <w:sz w:val="32"/>
          <w:szCs w:val="32"/>
        </w:rPr>
      </w:pPr>
      <w:r>
        <w:rPr>
          <w:rFonts w:hint="eastAsia" w:ascii="宋体" w:hAnsi="宋体" w:cs="宋体"/>
          <w:sz w:val="32"/>
          <w:szCs w:val="32"/>
        </w:rPr>
        <w:t>七、一般公共预算财政拨款“三公”经费支出决算表</w:t>
      </w:r>
    </w:p>
    <w:p>
      <w:pPr>
        <w:ind w:firstLine="640" w:firstLineChars="200"/>
        <w:jc w:val="left"/>
        <w:rPr>
          <w:rFonts w:ascii="宋体" w:hAnsi="宋体" w:cs="宋体"/>
          <w:sz w:val="32"/>
          <w:szCs w:val="32"/>
        </w:rPr>
      </w:pPr>
      <w:r>
        <w:rPr>
          <w:rFonts w:hint="eastAsia" w:ascii="宋体" w:hAnsi="宋体" w:cs="宋体"/>
          <w:sz w:val="32"/>
          <w:szCs w:val="32"/>
        </w:rPr>
        <w:t>八、政府性基金预算财政拨款收入支出决算表</w:t>
      </w:r>
    </w:p>
    <w:p>
      <w:pPr>
        <w:spacing w:line="560" w:lineRule="exact"/>
        <w:ind w:firstLine="640" w:firstLineChars="200"/>
        <w:rPr>
          <w:rFonts w:ascii="宋体" w:hAnsi="宋体" w:cs="宋体"/>
          <w:sz w:val="32"/>
          <w:szCs w:val="32"/>
        </w:rPr>
      </w:pPr>
      <w:r>
        <w:rPr>
          <w:rFonts w:hint="eastAsia" w:ascii="仿宋_GB2312" w:hAnsi="仿宋_GB2312"/>
          <w:sz w:val="32"/>
          <w:szCs w:val="24"/>
          <w:lang w:val="zh-CN"/>
        </w:rPr>
        <w:t>九、国有资本经营预算财政拨款收入支出决算表</w:t>
      </w:r>
    </w:p>
    <w:p>
      <w:pPr>
        <w:jc w:val="left"/>
        <w:rPr>
          <w:rFonts w:ascii="黑体" w:hAnsi="黑体" w:eastAsia="黑体" w:cs="黑体"/>
          <w:sz w:val="32"/>
          <w:szCs w:val="32"/>
        </w:rPr>
      </w:pPr>
      <w:r>
        <w:rPr>
          <w:rFonts w:hint="eastAsia" w:ascii="黑体" w:hAnsi="黑体" w:eastAsia="黑体" w:cs="黑体"/>
          <w:sz w:val="32"/>
          <w:szCs w:val="32"/>
        </w:rPr>
        <w:t>第三部分　　2020年度部门决算情况说明</w:t>
      </w:r>
    </w:p>
    <w:p>
      <w:pPr>
        <w:ind w:firstLine="640" w:firstLineChars="200"/>
        <w:jc w:val="left"/>
        <w:rPr>
          <w:rFonts w:ascii="宋体" w:hAnsi="宋体" w:cs="宋体"/>
          <w:sz w:val="32"/>
          <w:szCs w:val="32"/>
        </w:rPr>
      </w:pPr>
      <w:r>
        <w:rPr>
          <w:rFonts w:hint="eastAsia" w:ascii="宋体" w:hAnsi="宋体" w:cs="宋体"/>
          <w:sz w:val="32"/>
          <w:szCs w:val="32"/>
        </w:rPr>
        <w:t>一、收入支出决算总体情况说明</w:t>
      </w:r>
    </w:p>
    <w:p>
      <w:pPr>
        <w:ind w:firstLine="640" w:firstLineChars="200"/>
        <w:jc w:val="left"/>
        <w:rPr>
          <w:rFonts w:ascii="宋体" w:hAnsi="宋体" w:cs="宋体"/>
          <w:sz w:val="32"/>
          <w:szCs w:val="32"/>
        </w:rPr>
      </w:pPr>
      <w:r>
        <w:rPr>
          <w:rFonts w:hint="eastAsia" w:ascii="宋体" w:hAnsi="宋体" w:cs="宋体"/>
          <w:sz w:val="32"/>
          <w:szCs w:val="32"/>
        </w:rPr>
        <w:t>二、收入决算情况说明</w:t>
      </w:r>
    </w:p>
    <w:p>
      <w:pPr>
        <w:ind w:firstLine="640" w:firstLineChars="200"/>
        <w:jc w:val="left"/>
        <w:rPr>
          <w:rFonts w:ascii="宋体" w:hAnsi="宋体" w:cs="宋体"/>
          <w:sz w:val="32"/>
          <w:szCs w:val="32"/>
        </w:rPr>
      </w:pPr>
      <w:r>
        <w:rPr>
          <w:rFonts w:hint="eastAsia" w:ascii="宋体" w:hAnsi="宋体" w:cs="宋体"/>
          <w:sz w:val="32"/>
          <w:szCs w:val="32"/>
        </w:rPr>
        <w:t>三、支出决算情况说明</w:t>
      </w:r>
    </w:p>
    <w:p>
      <w:pPr>
        <w:ind w:firstLine="640" w:firstLineChars="200"/>
        <w:jc w:val="left"/>
        <w:rPr>
          <w:rFonts w:ascii="宋体" w:hAnsi="宋体" w:cs="宋体"/>
          <w:sz w:val="32"/>
          <w:szCs w:val="32"/>
        </w:rPr>
      </w:pPr>
      <w:r>
        <w:rPr>
          <w:rFonts w:hint="eastAsia" w:ascii="宋体" w:hAnsi="宋体" w:cs="宋体"/>
          <w:sz w:val="32"/>
          <w:szCs w:val="32"/>
        </w:rPr>
        <w:t>四、财政拨款收入支出决算总体情况说明</w:t>
      </w:r>
    </w:p>
    <w:p>
      <w:pPr>
        <w:ind w:firstLine="640" w:firstLineChars="200"/>
        <w:jc w:val="left"/>
        <w:rPr>
          <w:rFonts w:ascii="宋体" w:hAnsi="宋体" w:cs="宋体"/>
          <w:sz w:val="32"/>
          <w:szCs w:val="32"/>
        </w:rPr>
      </w:pPr>
      <w:r>
        <w:rPr>
          <w:rFonts w:hint="eastAsia" w:ascii="宋体" w:hAnsi="宋体" w:cs="宋体"/>
          <w:sz w:val="32"/>
          <w:szCs w:val="32"/>
        </w:rPr>
        <w:t>五、一般公共预算财政拨款支出决算情况说明</w:t>
      </w:r>
    </w:p>
    <w:p>
      <w:pPr>
        <w:ind w:firstLine="640" w:firstLineChars="200"/>
        <w:jc w:val="left"/>
        <w:rPr>
          <w:rFonts w:ascii="宋体" w:hAnsi="宋体" w:cs="宋体"/>
          <w:sz w:val="32"/>
          <w:szCs w:val="32"/>
        </w:rPr>
      </w:pPr>
      <w:r>
        <w:rPr>
          <w:rFonts w:hint="eastAsia" w:ascii="宋体" w:hAnsi="宋体" w:cs="宋体"/>
          <w:sz w:val="32"/>
          <w:szCs w:val="32"/>
        </w:rPr>
        <w:t>六、一般公共预算财政拨款基本支出决算情况说明</w:t>
      </w:r>
    </w:p>
    <w:p>
      <w:pPr>
        <w:ind w:firstLine="640" w:firstLineChars="200"/>
        <w:jc w:val="left"/>
        <w:rPr>
          <w:rFonts w:ascii="宋体" w:hAnsi="宋体" w:cs="宋体"/>
          <w:sz w:val="32"/>
          <w:szCs w:val="32"/>
        </w:rPr>
      </w:pPr>
      <w:r>
        <w:rPr>
          <w:rFonts w:hint="eastAsia" w:ascii="宋体" w:hAnsi="宋体" w:cs="宋体"/>
          <w:sz w:val="32"/>
          <w:szCs w:val="32"/>
        </w:rPr>
        <w:t>七、一般公共预算财政拨款“三公”经费支出决算情况说明</w:t>
      </w:r>
    </w:p>
    <w:p>
      <w:pPr>
        <w:ind w:firstLine="640" w:firstLineChars="200"/>
        <w:jc w:val="left"/>
        <w:rPr>
          <w:rFonts w:ascii="宋体" w:hAnsi="宋体" w:cs="宋体"/>
          <w:sz w:val="32"/>
          <w:szCs w:val="32"/>
        </w:rPr>
      </w:pPr>
      <w:r>
        <w:rPr>
          <w:rFonts w:hint="eastAsia" w:ascii="宋体" w:hAnsi="宋体" w:cs="宋体"/>
          <w:sz w:val="32"/>
          <w:szCs w:val="32"/>
        </w:rPr>
        <w:t>八、预算绩效情况说明</w:t>
      </w:r>
    </w:p>
    <w:p>
      <w:pPr>
        <w:ind w:firstLine="640" w:firstLineChars="200"/>
        <w:jc w:val="left"/>
        <w:rPr>
          <w:rFonts w:ascii="宋体" w:hAnsi="宋体" w:cs="宋体"/>
          <w:sz w:val="32"/>
          <w:szCs w:val="32"/>
        </w:rPr>
      </w:pPr>
      <w:r>
        <w:rPr>
          <w:rFonts w:hint="eastAsia" w:ascii="宋体" w:hAnsi="宋体" w:cs="宋体"/>
          <w:sz w:val="32"/>
          <w:szCs w:val="32"/>
        </w:rPr>
        <w:t>九、政府性基金预算财政拨款支出决算情况说明</w:t>
      </w:r>
    </w:p>
    <w:p>
      <w:pPr>
        <w:tabs>
          <w:tab w:val="left" w:pos="3460"/>
        </w:tabs>
        <w:spacing w:line="560" w:lineRule="exact"/>
        <w:ind w:firstLine="640" w:firstLineChars="200"/>
        <w:rPr>
          <w:rFonts w:ascii="宋体" w:hAnsi="宋体" w:cs="宋体"/>
          <w:sz w:val="32"/>
          <w:szCs w:val="32"/>
        </w:rPr>
      </w:pPr>
      <w:r>
        <w:rPr>
          <w:rFonts w:hint="eastAsia" w:ascii="仿宋_GB2312" w:hAnsi="仿宋_GB2312"/>
          <w:sz w:val="32"/>
          <w:szCs w:val="24"/>
          <w:lang w:val="zh-CN"/>
        </w:rPr>
        <w:t>十、国有资本经营预算财政拨款支出决算情况说明</w:t>
      </w:r>
    </w:p>
    <w:p>
      <w:pPr>
        <w:ind w:firstLine="640" w:firstLineChars="200"/>
        <w:jc w:val="left"/>
        <w:rPr>
          <w:rFonts w:ascii="宋体" w:hAnsi="宋体" w:cs="宋体"/>
          <w:sz w:val="32"/>
          <w:szCs w:val="32"/>
        </w:rPr>
      </w:pPr>
      <w:r>
        <w:rPr>
          <w:rFonts w:hint="eastAsia" w:ascii="宋体" w:hAnsi="宋体" w:cs="宋体"/>
          <w:sz w:val="32"/>
          <w:szCs w:val="32"/>
        </w:rPr>
        <w:t>十一、机关运行经费支出情况说明</w:t>
      </w:r>
    </w:p>
    <w:p>
      <w:pPr>
        <w:ind w:firstLine="640" w:firstLineChars="200"/>
        <w:jc w:val="left"/>
        <w:rPr>
          <w:rFonts w:ascii="宋体" w:hAnsi="宋体" w:cs="宋体"/>
          <w:sz w:val="32"/>
          <w:szCs w:val="32"/>
        </w:rPr>
      </w:pPr>
      <w:r>
        <w:rPr>
          <w:rFonts w:hint="eastAsia" w:ascii="宋体" w:hAnsi="宋体" w:cs="宋体"/>
          <w:sz w:val="32"/>
          <w:szCs w:val="32"/>
        </w:rPr>
        <w:t>十二、政府采购支出情况说明</w:t>
      </w:r>
    </w:p>
    <w:p>
      <w:pPr>
        <w:ind w:firstLine="640" w:firstLineChars="200"/>
        <w:jc w:val="left"/>
        <w:rPr>
          <w:rFonts w:ascii="宋体" w:hAnsi="宋体" w:cs="宋体"/>
          <w:sz w:val="32"/>
          <w:szCs w:val="32"/>
        </w:rPr>
      </w:pPr>
      <w:r>
        <w:rPr>
          <w:rFonts w:hint="eastAsia" w:ascii="宋体" w:hAnsi="宋体" w:cs="宋体"/>
          <w:sz w:val="32"/>
          <w:szCs w:val="32"/>
        </w:rPr>
        <w:t>十三、国有资产占用情况说明</w:t>
      </w:r>
    </w:p>
    <w:p>
      <w:pPr>
        <w:jc w:val="left"/>
        <w:rPr>
          <w:rFonts w:ascii="黑体" w:hAnsi="黑体" w:eastAsia="黑体" w:cs="黑体"/>
          <w:sz w:val="32"/>
          <w:szCs w:val="32"/>
        </w:rPr>
      </w:pPr>
      <w:r>
        <w:rPr>
          <w:rFonts w:hint="eastAsia" w:ascii="黑体" w:hAnsi="黑体" w:eastAsia="黑体" w:cs="黑体"/>
          <w:sz w:val="32"/>
          <w:szCs w:val="32"/>
        </w:rPr>
        <w:t>第四部分　　名词解释</w:t>
      </w:r>
    </w:p>
    <w:p>
      <w:pPr>
        <w:jc w:val="left"/>
        <w:rPr>
          <w:rFonts w:ascii="黑体" w:hAnsi="黑体" w:eastAsia="黑体" w:cs="黑体"/>
          <w:sz w:val="32"/>
          <w:szCs w:val="32"/>
        </w:rPr>
      </w:pPr>
      <w:r>
        <w:rPr>
          <w:rFonts w:hint="eastAsia" w:ascii="黑体" w:hAnsi="黑体" w:eastAsia="黑体" w:cs="黑体"/>
          <w:sz w:val="32"/>
          <w:szCs w:val="32"/>
        </w:rPr>
        <w:t>第五部分　　附件</w:t>
      </w:r>
    </w:p>
    <w:p>
      <w:pPr>
        <w:jc w:val="left"/>
        <w:rPr>
          <w:rFonts w:ascii="黑体" w:hAnsi="黑体" w:eastAsia="黑体" w:cs="黑体"/>
          <w:sz w:val="32"/>
          <w:szCs w:val="32"/>
        </w:rPr>
      </w:pPr>
    </w:p>
    <w:p>
      <w:pPr>
        <w:ind w:firstLine="640" w:firstLineChars="200"/>
        <w:jc w:val="left"/>
        <w:rPr>
          <w:rFonts w:ascii="宋体" w:hAnsi="宋体" w:cs="宋体"/>
          <w:sz w:val="32"/>
          <w:szCs w:val="32"/>
        </w:rPr>
      </w:pPr>
    </w:p>
    <w:p>
      <w:pPr>
        <w:jc w:val="left"/>
        <w:rPr>
          <w:rFonts w:ascii="黑体" w:hAnsi="黑体" w:eastAsia="黑体" w:cs="黑体"/>
          <w:sz w:val="32"/>
          <w:szCs w:val="32"/>
        </w:rPr>
        <w:sectPr>
          <w:footerReference r:id="rId3" w:type="default"/>
          <w:footerReference r:id="rId4" w:type="even"/>
          <w:pgSz w:w="11906" w:h="16838"/>
          <w:pgMar w:top="1440" w:right="1531" w:bottom="1440" w:left="1587" w:header="850" w:footer="992" w:gutter="0"/>
          <w:pgNumType w:fmt="numberInDash" w:start="1"/>
          <w:cols w:space="720" w:num="1"/>
          <w:docGrid w:type="lines" w:linePitch="317" w:charSpace="0"/>
        </w:sect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numPr>
          <w:ilvl w:val="0"/>
          <w:numId w:val="2"/>
        </w:numPr>
        <w:jc w:val="center"/>
        <w:outlineLvl w:val="0"/>
        <w:rPr>
          <w:rFonts w:ascii="黑体" w:hAnsi="黑体" w:eastAsia="黑体" w:cs="黑体"/>
          <w:sz w:val="48"/>
          <w:szCs w:val="48"/>
        </w:rPr>
      </w:pPr>
    </w:p>
    <w:p>
      <w:pPr>
        <w:widowControl/>
        <w:jc w:val="center"/>
        <w:outlineLvl w:val="0"/>
        <w:rPr>
          <w:rFonts w:ascii="黑体" w:hAnsi="宋体" w:eastAsia="黑体" w:cs="宋体"/>
          <w:kern w:val="0"/>
          <w:sz w:val="28"/>
          <w:szCs w:val="28"/>
        </w:rPr>
      </w:pPr>
      <w:r>
        <w:rPr>
          <w:rFonts w:hint="eastAsia" w:ascii="黑体" w:hAnsi="黑体" w:eastAsia="黑体" w:cs="黑体"/>
          <w:sz w:val="52"/>
          <w:szCs w:val="52"/>
        </w:rPr>
        <w:t>焦作市马村区人民检察院</w:t>
      </w:r>
      <w:r>
        <w:rPr>
          <w:rFonts w:hint="eastAsia" w:ascii="黑体" w:hAnsi="黑体" w:eastAsia="黑体" w:cs="黑体"/>
          <w:sz w:val="48"/>
          <w:szCs w:val="48"/>
        </w:rPr>
        <w:t>概况</w:t>
      </w: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sectPr>
          <w:pgSz w:w="11906" w:h="16838"/>
          <w:pgMar w:top="1440" w:right="1800" w:bottom="1440" w:left="1800" w:header="720" w:footer="720" w:gutter="0"/>
          <w:pgNumType w:fmt="numberInDash"/>
          <w:cols w:space="720" w:num="1"/>
          <w:docGrid w:type="lines" w:linePitch="312" w:charSpace="0"/>
        </w:sectPr>
      </w:pPr>
    </w:p>
    <w:p>
      <w:pPr>
        <w:widowControl/>
        <w:ind w:firstLine="640" w:firstLineChars="200"/>
        <w:jc w:val="left"/>
        <w:outlineLvl w:val="1"/>
        <w:rPr>
          <w:rFonts w:ascii="黑体" w:hAnsi="黑体" w:eastAsia="黑体" w:cs="黑体"/>
          <w:kern w:val="0"/>
          <w:sz w:val="32"/>
          <w:szCs w:val="32"/>
        </w:rPr>
      </w:pPr>
      <w:r>
        <w:rPr>
          <w:rFonts w:hint="eastAsia" w:ascii="黑体" w:hAnsi="黑体" w:eastAsia="黑体" w:cs="黑体"/>
          <w:kern w:val="0"/>
          <w:sz w:val="32"/>
          <w:szCs w:val="32"/>
        </w:rPr>
        <w:t>一、部门</w:t>
      </w:r>
      <w:r>
        <w:rPr>
          <w:rFonts w:hint="eastAsia" w:ascii="黑体" w:hAnsi="黑体" w:eastAsia="黑体" w:cs="黑体"/>
          <w:bCs/>
          <w:sz w:val="32"/>
          <w:szCs w:val="32"/>
        </w:rPr>
        <w:t>职责</w:t>
      </w:r>
    </w:p>
    <w:p>
      <w:pPr>
        <w:ind w:right="-420" w:rightChars="-200" w:firstLine="633" w:firstLineChars="198"/>
        <w:rPr>
          <w:rFonts w:ascii="仿宋_GB2312" w:hAnsi="仿宋_GB2312" w:eastAsia="仿宋_GB2312" w:cs="Times New Roman"/>
          <w:sz w:val="32"/>
          <w:szCs w:val="32"/>
        </w:rPr>
      </w:pPr>
      <w:r>
        <w:rPr>
          <w:rFonts w:hint="eastAsia" w:ascii="仿宋_GB2312" w:hAnsi="仿宋_GB2312" w:eastAsia="仿宋_GB2312" w:cs="Times New Roman"/>
          <w:sz w:val="32"/>
          <w:szCs w:val="32"/>
        </w:rPr>
        <w:t>焦作市马村区人民检察院是依法履行法律监督职能的法律监督机关，对马村区人民代表大会及其常务委员会负责并报告工作，接受马村区人民代表大会及其常务委员会的监督，接受上级人民检察院的领导。其主要职责是：</w:t>
      </w:r>
    </w:p>
    <w:p>
      <w:pPr>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（一）接受上级人民检察院和区委的领导，向区人民代表大会及其常务委员会报告工作，接受其监督。</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（二）确定检察工作目标、工作规划，部署检察工作，制定检察工作的规章制度。</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（三）对刑事犯罪案件依法审查批捕，提起公诉；对公安机关的立案活动和侦查活动是否合法，实行监督；对区法院判决和裁定，认为确有错误的，依法向市中级人民法院提起抗诉。</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（四）对民事、经济、行政审判依照法律进行监督；依照法律规定提起公益诉讼。</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（五）受理公民控告、申诉和举报。</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（六）对于监狱、看守所等执行机关执行刑罚的活动是否合法实行监督。</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（七）负责全院干警的思想政治工作和队伍建设，依法管理全体干警。</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（八）负责检察机关的对外交流和宣传工作。</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（九）负责区委、区政府交办的临时性工作。</w:t>
      </w:r>
    </w:p>
    <w:p>
      <w:pPr>
        <w:spacing w:line="520" w:lineRule="exact"/>
        <w:ind w:right="-420" w:rightChars="-200" w:firstLine="640" w:firstLineChars="200"/>
        <w:rPr>
          <w:rFonts w:ascii="仿宋_GB2312" w:hAnsi="仿宋_GB2312" w:eastAsia="仿宋_GB2312" w:cs="Times New Roman"/>
          <w:sz w:val="32"/>
          <w:szCs w:val="32"/>
        </w:rPr>
      </w:pPr>
      <w:r>
        <w:rPr>
          <w:rFonts w:hint="eastAsia" w:ascii="仿宋_GB2312" w:hAnsi="仿宋_GB2312" w:eastAsia="仿宋_GB2312" w:cs="Times New Roman"/>
          <w:sz w:val="32"/>
          <w:szCs w:val="32"/>
        </w:rPr>
        <w:t>（十）法律规定的其他职能。</w:t>
      </w:r>
    </w:p>
    <w:p>
      <w:pPr>
        <w:widowControl/>
        <w:ind w:firstLine="640" w:firstLineChars="200"/>
        <w:jc w:val="left"/>
        <w:outlineLvl w:val="1"/>
      </w:pPr>
      <w:r>
        <w:rPr>
          <w:rFonts w:hint="eastAsia" w:ascii="黑体" w:hAnsi="黑体" w:eastAsia="黑体" w:cs="黑体"/>
          <w:kern w:val="0"/>
          <w:sz w:val="32"/>
          <w:szCs w:val="32"/>
        </w:rPr>
        <w:t>二、机构设置</w:t>
      </w:r>
    </w:p>
    <w:p>
      <w:pPr>
        <w:widowControl/>
        <w:ind w:firstLine="640" w:firstLineChars="200"/>
        <w:jc w:val="left"/>
        <w:outlineLvl w:val="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马村区人民检察院内设机构5个，包括：办公室、政治部、第一检察部、第二检察部、第三检察部。下设有一个事业单位。</w:t>
      </w:r>
    </w:p>
    <w:p>
      <w:pPr>
        <w:widowControl/>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从决算单位构成看，焦作市马村区人民检察院部门决算包括：本级决算。</w:t>
      </w:r>
    </w:p>
    <w:p>
      <w:pPr>
        <w:widowControl/>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纳入本部门2020年度部门决算编制范围的单位共1个，其中二级预算单位0个。具体是：</w:t>
      </w:r>
    </w:p>
    <w:p>
      <w:pPr>
        <w:widowControl/>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1、焦作市马村区人民检察院本级。</w:t>
      </w: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r>
        <w:rPr>
          <w:rFonts w:hint="eastAsia" w:ascii="黑体" w:hAnsi="黑体" w:eastAsia="黑体" w:cs="黑体"/>
          <w:sz w:val="48"/>
          <w:szCs w:val="48"/>
        </w:rPr>
        <w:t>第二部分  2020年度部门决算表</w:t>
      </w: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sectPr>
          <w:pgSz w:w="11906" w:h="16838"/>
          <w:pgMar w:top="1440" w:right="1800" w:bottom="1440" w:left="1800" w:header="720" w:footer="720" w:gutter="0"/>
          <w:pgNumType w:fmt="numberInDash"/>
          <w:cols w:space="720" w:num="1"/>
          <w:docGrid w:type="lines" w:linePitch="312" w:charSpace="0"/>
        </w:sectPr>
      </w:pPr>
    </w:p>
    <w:tbl>
      <w:tblPr>
        <w:tblStyle w:val="5"/>
        <w:tblW w:w="5000" w:type="pct"/>
        <w:tblInd w:w="0" w:type="dxa"/>
        <w:tblLayout w:type="autofit"/>
        <w:tblCellMar>
          <w:top w:w="0" w:type="dxa"/>
          <w:left w:w="0" w:type="dxa"/>
          <w:bottom w:w="0" w:type="dxa"/>
          <w:right w:w="0" w:type="dxa"/>
        </w:tblCellMar>
      </w:tblPr>
      <w:tblGrid>
        <w:gridCol w:w="3393"/>
        <w:gridCol w:w="453"/>
        <w:gridCol w:w="434"/>
        <w:gridCol w:w="436"/>
        <w:gridCol w:w="3184"/>
        <w:gridCol w:w="450"/>
        <w:gridCol w:w="870"/>
        <w:gridCol w:w="2767"/>
        <w:gridCol w:w="453"/>
        <w:gridCol w:w="48"/>
        <w:gridCol w:w="1500"/>
      </w:tblGrid>
      <w:tr>
        <w:tblPrEx>
          <w:tblCellMar>
            <w:top w:w="0" w:type="dxa"/>
            <w:left w:w="0" w:type="dxa"/>
            <w:bottom w:w="0" w:type="dxa"/>
            <w:right w:w="0" w:type="dxa"/>
          </w:tblCellMar>
        </w:tblPrEx>
        <w:trPr>
          <w:trHeight w:val="624" w:hRule="atLeast"/>
        </w:trPr>
        <w:tc>
          <w:tcPr>
            <w:tcW w:w="5000" w:type="pct"/>
            <w:gridSpan w:val="11"/>
            <w:vMerge w:val="restart"/>
            <w:tcBorders>
              <w:top w:val="nil"/>
              <w:left w:val="nil"/>
              <w:bottom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sz w:val="36"/>
                <w:szCs w:val="36"/>
              </w:rPr>
            </w:pPr>
            <w:r>
              <w:rPr>
                <w:rFonts w:hint="eastAsia" w:ascii="黑体" w:hAnsi="宋体" w:eastAsia="黑体" w:cs="黑体"/>
                <w:kern w:val="0"/>
                <w:sz w:val="36"/>
                <w:szCs w:val="36"/>
              </w:rPr>
              <w:t>收入支出决算总表</w:t>
            </w:r>
          </w:p>
        </w:tc>
      </w:tr>
      <w:tr>
        <w:tblPrEx>
          <w:tblCellMar>
            <w:top w:w="0" w:type="dxa"/>
            <w:left w:w="0" w:type="dxa"/>
            <w:bottom w:w="0" w:type="dxa"/>
            <w:right w:w="0" w:type="dxa"/>
          </w:tblCellMar>
        </w:tblPrEx>
        <w:trPr>
          <w:trHeight w:val="624" w:hRule="atLeast"/>
        </w:trPr>
        <w:tc>
          <w:tcPr>
            <w:tcW w:w="5000" w:type="pct"/>
            <w:gridSpan w:val="11"/>
            <w:vMerge w:val="continue"/>
            <w:tcBorders>
              <w:top w:val="nil"/>
              <w:left w:val="nil"/>
              <w:bottom w:val="nil"/>
            </w:tcBorders>
            <w:shd w:val="clear" w:color="auto" w:fill="auto"/>
            <w:tcMar>
              <w:top w:w="15" w:type="dxa"/>
              <w:left w:w="15" w:type="dxa"/>
              <w:right w:w="15" w:type="dxa"/>
            </w:tcMar>
            <w:vAlign w:val="center"/>
          </w:tcPr>
          <w:p>
            <w:pPr>
              <w:jc w:val="center"/>
              <w:rPr>
                <w:rFonts w:ascii="黑体" w:hAnsi="宋体" w:eastAsia="黑体" w:cs="黑体"/>
                <w:sz w:val="36"/>
                <w:szCs w:val="36"/>
              </w:rPr>
            </w:pPr>
          </w:p>
        </w:tc>
      </w:tr>
      <w:tr>
        <w:tblPrEx>
          <w:tblCellMar>
            <w:top w:w="0" w:type="dxa"/>
            <w:left w:w="0" w:type="dxa"/>
            <w:bottom w:w="0" w:type="dxa"/>
            <w:right w:w="0" w:type="dxa"/>
          </w:tblCellMar>
        </w:tblPrEx>
        <w:trPr>
          <w:trHeight w:val="344" w:hRule="atLeast"/>
        </w:trPr>
        <w:tc>
          <w:tcPr>
            <w:tcW w:w="1375" w:type="pct"/>
            <w:gridSpan w:val="2"/>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155"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155"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2761" w:type="pct"/>
            <w:gridSpan w:val="5"/>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13" w:type="pct"/>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538" w:type="pct"/>
            <w:tcBorders>
              <w:top w:val="nil"/>
              <w:left w:val="nil"/>
              <w:bottom w:val="nil"/>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公开01表</w:t>
            </w:r>
          </w:p>
        </w:tc>
      </w:tr>
      <w:tr>
        <w:tblPrEx>
          <w:tblCellMar>
            <w:top w:w="0" w:type="dxa"/>
            <w:left w:w="0" w:type="dxa"/>
            <w:bottom w:w="0" w:type="dxa"/>
            <w:right w:w="0" w:type="dxa"/>
          </w:tblCellMar>
        </w:tblPrEx>
        <w:trPr>
          <w:trHeight w:val="344" w:hRule="atLeast"/>
        </w:trPr>
        <w:tc>
          <w:tcPr>
            <w:tcW w:w="1375" w:type="pct"/>
            <w:gridSpan w:val="2"/>
            <w:tcBorders>
              <w:top w:val="nil"/>
              <w:left w:val="nil"/>
              <w:bottom w:val="single" w:color="808080" w:sz="4" w:space="0"/>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0"/>
                <w:szCs w:val="20"/>
              </w:rPr>
              <w:t>部门：</w:t>
            </w:r>
            <w:r>
              <w:rPr>
                <w:rFonts w:hint="eastAsia" w:ascii="宋体" w:hAnsi="宋体" w:cs="宋体"/>
                <w:kern w:val="0"/>
                <w:sz w:val="20"/>
                <w:szCs w:val="20"/>
              </w:rPr>
              <w:t>焦作市马村区人民检察院</w:t>
            </w:r>
          </w:p>
        </w:tc>
        <w:tc>
          <w:tcPr>
            <w:tcW w:w="155" w:type="pct"/>
            <w:tcBorders>
              <w:top w:val="nil"/>
              <w:left w:val="nil"/>
              <w:bottom w:val="single" w:color="808080" w:sz="4" w:space="0"/>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155" w:type="pct"/>
            <w:tcBorders>
              <w:top w:val="nil"/>
              <w:left w:val="nil"/>
              <w:bottom w:val="single" w:color="808080" w:sz="4" w:space="0"/>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　</w:t>
            </w:r>
          </w:p>
        </w:tc>
        <w:tc>
          <w:tcPr>
            <w:tcW w:w="2761" w:type="pct"/>
            <w:gridSpan w:val="5"/>
            <w:tcBorders>
              <w:top w:val="nil"/>
              <w:left w:val="nil"/>
              <w:bottom w:val="single" w:color="808080" w:sz="4" w:space="0"/>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13" w:type="pct"/>
            <w:tcBorders>
              <w:top w:val="nil"/>
              <w:left w:val="nil"/>
              <w:bottom w:val="single" w:color="808080" w:sz="4" w:space="0"/>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　</w:t>
            </w:r>
          </w:p>
        </w:tc>
        <w:tc>
          <w:tcPr>
            <w:tcW w:w="538" w:type="pct"/>
            <w:tcBorders>
              <w:top w:val="nil"/>
              <w:left w:val="nil"/>
              <w:bottom w:val="single" w:color="80808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金额单位：万元</w:t>
            </w:r>
          </w:p>
        </w:tc>
      </w:tr>
      <w:tr>
        <w:tblPrEx>
          <w:tblCellMar>
            <w:top w:w="0" w:type="dxa"/>
            <w:left w:w="0" w:type="dxa"/>
            <w:bottom w:w="0" w:type="dxa"/>
            <w:right w:w="0" w:type="dxa"/>
          </w:tblCellMar>
        </w:tblPrEx>
        <w:trPr>
          <w:trHeight w:val="439" w:hRule="atLeast"/>
        </w:trPr>
        <w:tc>
          <w:tcPr>
            <w:tcW w:w="1686" w:type="pct"/>
            <w:gridSpan w:val="4"/>
            <w:tcBorders>
              <w:top w:val="single" w:color="80808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收入</w:t>
            </w:r>
          </w:p>
        </w:tc>
        <w:tc>
          <w:tcPr>
            <w:tcW w:w="3313" w:type="pct"/>
            <w:gridSpan w:val="7"/>
            <w:tcBorders>
              <w:top w:val="single" w:color="80808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支出</w:t>
            </w:r>
          </w:p>
        </w:tc>
      </w:tr>
      <w:tr>
        <w:tblPrEx>
          <w:tblCellMar>
            <w:top w:w="0" w:type="dxa"/>
            <w:left w:w="0" w:type="dxa"/>
            <w:bottom w:w="0" w:type="dxa"/>
            <w:right w:w="0" w:type="dxa"/>
          </w:tblCellMar>
        </w:tblPrEx>
        <w:trPr>
          <w:trHeight w:val="429"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项目</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行次</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金额</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项目(按功能分类)</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行次</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决算数</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项目(按支出性质和经济分类)</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行次</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金额</w:t>
            </w:r>
          </w:p>
        </w:tc>
      </w:tr>
      <w:tr>
        <w:tblPrEx>
          <w:tblCellMar>
            <w:top w:w="0" w:type="dxa"/>
            <w:left w:w="0" w:type="dxa"/>
            <w:bottom w:w="0" w:type="dxa"/>
            <w:right w:w="0" w:type="dxa"/>
          </w:tblCellMar>
        </w:tblPrEx>
        <w:trPr>
          <w:trHeight w:val="429"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eastAsia="宋体" w:cs="宋体"/>
                <w:sz w:val="20"/>
                <w:szCs w:val="20"/>
              </w:rPr>
            </w:pPr>
            <w:r>
              <w:rPr>
                <w:rFonts w:hint="eastAsia" w:ascii="宋体" w:hAnsi="宋体" w:eastAsia="宋体" w:cs="宋体"/>
                <w:kern w:val="0"/>
                <w:sz w:val="20"/>
                <w:szCs w:val="20"/>
              </w:rPr>
              <w:t>栏次</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pP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eastAsia="宋体" w:cs="宋体"/>
                <w:sz w:val="20"/>
                <w:szCs w:val="20"/>
              </w:rPr>
            </w:pPr>
            <w:r>
              <w:rPr>
                <w:rFonts w:hint="eastAsia" w:ascii="宋体" w:hAnsi="宋体" w:eastAsia="宋体" w:cs="宋体"/>
                <w:kern w:val="0"/>
                <w:sz w:val="20"/>
                <w:szCs w:val="20"/>
              </w:rPr>
              <w:t>栏次</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pP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pPr>
            <w:r>
              <w:rPr>
                <w:rFonts w:hint="eastAsia" w:ascii="宋体" w:hAnsi="宋体" w:eastAsia="宋体" w:cs="宋体"/>
                <w:kern w:val="0"/>
                <w:sz w:val="20"/>
                <w:szCs w:val="20"/>
              </w:rPr>
              <w:t>栏次</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pP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一、一般公共预算财政拨款收入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1,119.19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一、一般公共服务支出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32</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一、基本支出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58</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849.59</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二、政府性基金预算财政拨款收入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二、外交支出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33</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 xml:space="preserve">      人员经费</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59</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708.77</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三、国有资本经营预算财政拨款收入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三、国防支出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34</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 xml:space="preserve">      公用经费</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60</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140.81</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四、上级补助收入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四、公共安全支出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35</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1,170.59</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二、项目支出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61</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451.70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五、事业收入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五、教育支出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36</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 xml:space="preserve">    其中：基本建设类项目</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62</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六、经营收入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六、科学技术支出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37</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三、上缴上级支出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63</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七、附属单位上缴收入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七、文化旅游体育与传媒支出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38</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四、经营支出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64</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八、其他收入</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八、社会保障和就业支出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39</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65.90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五、对附属单位补助支出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65</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9</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九、卫生健康支出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40</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26.16</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66</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sz w:val="20"/>
                <w:szCs w:val="20"/>
              </w:rPr>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10</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十、节能环保支出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41</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67</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sz w:val="20"/>
                <w:szCs w:val="20"/>
              </w:rPr>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11</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18"/>
                <w:szCs w:val="18"/>
              </w:rPr>
            </w:pPr>
            <w:r>
              <w:rPr>
                <w:rFonts w:hint="eastAsia" w:ascii="宋体" w:hAnsi="宋体" w:eastAsia="宋体" w:cs="宋体"/>
                <w:kern w:val="0"/>
                <w:sz w:val="20"/>
                <w:szCs w:val="20"/>
              </w:rPr>
              <w:t>十一、城乡社区支出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42</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经济分类支出合计</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68</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1,301.28</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12</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十二、农林水支出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43</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一、工资福利支出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69</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680.23</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13</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十三、交通运输支出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44</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二、商品和服务支出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70</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433.79</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14</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十四、资源勘探工业信息等支出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45</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三、对个人和家庭的补助</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71</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28.54</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15</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十五、商业服务业等支出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46</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四、债务利息及费用支出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72</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16</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十六、金融支出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47</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五、资本性支出（基本建设）</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73</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17</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十七、援助其他地区支出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48</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六、资本性支出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74</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119.14</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18</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十八、自然资源海洋气象等支出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49</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七、对企业补助（基本建设）</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75</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19</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十九、住房保障支出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50</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38.63</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八、对企业补助</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76</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20</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二十、粮油物资储备支出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51</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九、对社会保障基金补助</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77</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21</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二十一、国有资本经营预算支出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52</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十、其他支出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78</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39.58</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22</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二十二、灾害防治及应急管理支出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53</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79</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23</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二十三、其他支出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54</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80</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24</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二十四、债务还本支出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55</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81</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25</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二十五、债务付息支出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56</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82</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kern w:val="0"/>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26</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kern w:val="0"/>
                <w:sz w:val="20"/>
                <w:szCs w:val="20"/>
              </w:rPr>
              <w:t>二十六、抗疫特别国债安排的支出</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57</w:t>
            </w:r>
          </w:p>
        </w:tc>
        <w:tc>
          <w:tcPr>
            <w:tcW w:w="31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8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83</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kern w:val="0"/>
                <w:sz w:val="20"/>
                <w:szCs w:val="20"/>
              </w:rPr>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sz w:val="20"/>
                <w:szCs w:val="20"/>
              </w:rPr>
            </w:pPr>
            <w:r>
              <w:rPr>
                <w:rFonts w:hint="eastAsia" w:ascii="宋体" w:hAnsi="宋体" w:eastAsia="宋体" w:cs="宋体"/>
                <w:b/>
                <w:bCs/>
                <w:kern w:val="0"/>
                <w:sz w:val="20"/>
                <w:szCs w:val="20"/>
              </w:rPr>
              <w:t>本年收入合计</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27</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1,119.19</w:t>
            </w:r>
          </w:p>
        </w:tc>
        <w:tc>
          <w:tcPr>
            <w:tcW w:w="2599" w:type="pct"/>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b/>
                <w:bCs/>
                <w:kern w:val="0"/>
                <w:sz w:val="20"/>
                <w:szCs w:val="20"/>
              </w:rPr>
              <w:t>本年支出合计</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84</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1,301.28</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0"/>
                <w:szCs w:val="20"/>
              </w:rPr>
              <w:t xml:space="preserve">    使用非财政拨款结余</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28</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2599" w:type="pct"/>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    结余分配</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85</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    年初结转和结余</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29</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224.34</w:t>
            </w:r>
          </w:p>
        </w:tc>
        <w:tc>
          <w:tcPr>
            <w:tcW w:w="2599" w:type="pct"/>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    年末结转和结余</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86</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42.25</w:t>
            </w: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sz w:val="20"/>
                <w:szCs w:val="20"/>
              </w:rPr>
            </w:pP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30</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sz w:val="20"/>
                <w:szCs w:val="20"/>
              </w:rPr>
            </w:pPr>
          </w:p>
        </w:tc>
        <w:tc>
          <w:tcPr>
            <w:tcW w:w="2599" w:type="pct"/>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sz w:val="20"/>
                <w:szCs w:val="20"/>
              </w:rPr>
            </w:pP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87</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pPr>
          </w:p>
        </w:tc>
      </w:tr>
      <w:tr>
        <w:tblPrEx>
          <w:tblCellMar>
            <w:top w:w="0" w:type="dxa"/>
            <w:left w:w="0" w:type="dxa"/>
            <w:bottom w:w="0" w:type="dxa"/>
            <w:right w:w="0" w:type="dxa"/>
          </w:tblCellMar>
        </w:tblPrEx>
        <w:trPr>
          <w:trHeight w:val="344" w:hRule="atLeast"/>
        </w:trPr>
        <w:tc>
          <w:tcPr>
            <w:tcW w:w="12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sz w:val="20"/>
                <w:szCs w:val="20"/>
              </w:rPr>
            </w:pPr>
            <w:r>
              <w:rPr>
                <w:rFonts w:hint="eastAsia" w:ascii="宋体" w:hAnsi="宋体" w:eastAsia="宋体" w:cs="宋体"/>
                <w:b/>
                <w:bCs/>
                <w:kern w:val="0"/>
                <w:sz w:val="20"/>
                <w:szCs w:val="20"/>
              </w:rPr>
              <w:t>总计</w:t>
            </w:r>
          </w:p>
        </w:tc>
        <w:tc>
          <w:tcPr>
            <w:tcW w:w="1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31</w:t>
            </w:r>
          </w:p>
        </w:tc>
        <w:tc>
          <w:tcPr>
            <w:tcW w:w="311"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1,343.53</w:t>
            </w:r>
          </w:p>
        </w:tc>
        <w:tc>
          <w:tcPr>
            <w:tcW w:w="2599" w:type="pct"/>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b/>
                <w:bCs/>
                <w:kern w:val="0"/>
                <w:sz w:val="20"/>
                <w:szCs w:val="20"/>
              </w:rPr>
              <w:t>总计</w:t>
            </w:r>
          </w:p>
        </w:tc>
        <w:tc>
          <w:tcPr>
            <w:tcW w:w="1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88</w:t>
            </w:r>
          </w:p>
        </w:tc>
        <w:tc>
          <w:tcPr>
            <w:tcW w:w="551"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1,343.53</w:t>
            </w:r>
          </w:p>
        </w:tc>
      </w:tr>
      <w:tr>
        <w:tblPrEx>
          <w:tblCellMar>
            <w:top w:w="0" w:type="dxa"/>
            <w:left w:w="0" w:type="dxa"/>
            <w:bottom w:w="0" w:type="dxa"/>
            <w:right w:w="0" w:type="dxa"/>
          </w:tblCellMar>
        </w:tblPrEx>
        <w:trPr>
          <w:gridAfter w:val="1"/>
          <w:wAfter w:w="538" w:type="pct"/>
          <w:trHeight w:val="344" w:hRule="atLeast"/>
        </w:trPr>
        <w:tc>
          <w:tcPr>
            <w:tcW w:w="4461" w:type="pct"/>
            <w:gridSpan w:val="10"/>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注：本表反映部门本年度的总收支和年末结转结余情况。本表金额转换为万元时，因四舍五入可能存在尾差。</w:t>
            </w:r>
          </w:p>
        </w:tc>
      </w:tr>
      <w:tr>
        <w:tblPrEx>
          <w:tblCellMar>
            <w:top w:w="0" w:type="dxa"/>
            <w:left w:w="0" w:type="dxa"/>
            <w:bottom w:w="0" w:type="dxa"/>
            <w:right w:w="0" w:type="dxa"/>
          </w:tblCellMar>
        </w:tblPrEx>
        <w:trPr>
          <w:gridAfter w:val="1"/>
          <w:wAfter w:w="538" w:type="pct"/>
          <w:trHeight w:val="344" w:hRule="atLeast"/>
        </w:trPr>
        <w:tc>
          <w:tcPr>
            <w:tcW w:w="4461" w:type="pct"/>
            <w:gridSpan w:val="10"/>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kern w:val="0"/>
                <w:sz w:val="20"/>
                <w:szCs w:val="20"/>
              </w:rPr>
            </w:pPr>
          </w:p>
        </w:tc>
      </w:tr>
    </w:tbl>
    <w:p>
      <w:pPr>
        <w:rPr>
          <w:rFonts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tbl>
      <w:tblPr>
        <w:tblStyle w:val="5"/>
        <w:tblW w:w="5000" w:type="pct"/>
        <w:tblInd w:w="0" w:type="dxa"/>
        <w:tblLayout w:type="fixed"/>
        <w:tblCellMar>
          <w:top w:w="0" w:type="dxa"/>
          <w:left w:w="0" w:type="dxa"/>
          <w:bottom w:w="0" w:type="dxa"/>
          <w:right w:w="0" w:type="dxa"/>
        </w:tblCellMar>
      </w:tblPr>
      <w:tblGrid>
        <w:gridCol w:w="351"/>
        <w:gridCol w:w="391"/>
        <w:gridCol w:w="241"/>
        <w:gridCol w:w="1732"/>
        <w:gridCol w:w="1304"/>
        <w:gridCol w:w="1304"/>
        <w:gridCol w:w="1304"/>
        <w:gridCol w:w="462"/>
        <w:gridCol w:w="1586"/>
        <w:gridCol w:w="1402"/>
        <w:gridCol w:w="2770"/>
        <w:gridCol w:w="1141"/>
      </w:tblGrid>
      <w:tr>
        <w:tblPrEx>
          <w:tblCellMar>
            <w:top w:w="0" w:type="dxa"/>
            <w:left w:w="0" w:type="dxa"/>
            <w:bottom w:w="0" w:type="dxa"/>
            <w:right w:w="0" w:type="dxa"/>
          </w:tblCellMar>
        </w:tblPrEx>
        <w:trPr>
          <w:trHeight w:val="90" w:hRule="atLeast"/>
        </w:trPr>
        <w:tc>
          <w:tcPr>
            <w:tcW w:w="5000" w:type="pct"/>
            <w:gridSpan w:val="12"/>
            <w:tcBorders>
              <w:top w:val="nil"/>
              <w:left w:val="nil"/>
              <w:bottom w:val="nil"/>
              <w:right w:val="nil"/>
            </w:tcBorders>
            <w:tcMar>
              <w:top w:w="15" w:type="dxa"/>
              <w:left w:w="15" w:type="dxa"/>
              <w:right w:w="15" w:type="dxa"/>
            </w:tcMar>
            <w:vAlign w:val="center"/>
          </w:tcPr>
          <w:p>
            <w:pPr>
              <w:widowControl/>
              <w:jc w:val="center"/>
              <w:textAlignment w:val="center"/>
              <w:rPr>
                <w:rFonts w:ascii="华文中宋" w:hAnsi="华文中宋" w:eastAsia="华文中宋" w:cs="华文中宋"/>
                <w:sz w:val="32"/>
                <w:szCs w:val="32"/>
              </w:rPr>
            </w:pPr>
            <w:r>
              <w:rPr>
                <w:rFonts w:hint="eastAsia" w:ascii="黑体" w:hAnsi="黑体" w:eastAsia="黑体" w:cs="黑体"/>
                <w:kern w:val="0"/>
                <w:sz w:val="36"/>
                <w:szCs w:val="36"/>
              </w:rPr>
              <w:t>收入决算表</w:t>
            </w:r>
          </w:p>
        </w:tc>
      </w:tr>
      <w:tr>
        <w:tblPrEx>
          <w:tblCellMar>
            <w:top w:w="0" w:type="dxa"/>
            <w:left w:w="0" w:type="dxa"/>
            <w:bottom w:w="0" w:type="dxa"/>
            <w:right w:w="0" w:type="dxa"/>
          </w:tblCellMar>
        </w:tblPrEx>
        <w:trPr>
          <w:trHeight w:val="357" w:hRule="atLeast"/>
        </w:trPr>
        <w:tc>
          <w:tcPr>
            <w:tcW w:w="266" w:type="pct"/>
            <w:gridSpan w:val="2"/>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85"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619"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46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46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46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165"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56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1491" w:type="pct"/>
            <w:gridSpan w:val="2"/>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407" w:type="pct"/>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公开02表</w:t>
            </w:r>
          </w:p>
        </w:tc>
      </w:tr>
      <w:tr>
        <w:tblPrEx>
          <w:tblCellMar>
            <w:top w:w="0" w:type="dxa"/>
            <w:left w:w="0" w:type="dxa"/>
            <w:bottom w:w="0" w:type="dxa"/>
            <w:right w:w="0" w:type="dxa"/>
          </w:tblCellMar>
        </w:tblPrEx>
        <w:trPr>
          <w:trHeight w:val="300" w:hRule="atLeast"/>
        </w:trPr>
        <w:tc>
          <w:tcPr>
            <w:tcW w:w="1903" w:type="pct"/>
            <w:gridSpan w:val="6"/>
            <w:tcBorders>
              <w:top w:val="nil"/>
              <w:left w:val="nil"/>
              <w:bottom w:val="nil"/>
              <w:right w:val="nil"/>
            </w:tcBorders>
            <w:shd w:val="clear" w:color="auto" w:fill="FFFFFF"/>
            <w:tcMar>
              <w:top w:w="15" w:type="dxa"/>
              <w:left w:w="15" w:type="dxa"/>
              <w:right w:w="15" w:type="dxa"/>
            </w:tcMar>
            <w:vAlign w:val="center"/>
          </w:tcPr>
          <w:p>
            <w:pPr>
              <w:jc w:val="left"/>
              <w:rPr>
                <w:rFonts w:ascii="宋体" w:hAnsi="宋体" w:cs="宋体"/>
                <w:sz w:val="20"/>
                <w:szCs w:val="20"/>
              </w:rPr>
            </w:pPr>
            <w:r>
              <w:rPr>
                <w:rFonts w:hint="eastAsia" w:ascii="宋体" w:hAnsi="宋体" w:cs="宋体"/>
                <w:kern w:val="0"/>
                <w:sz w:val="20"/>
                <w:szCs w:val="20"/>
              </w:rPr>
              <w:t>部门：焦作市马村区人民检察院</w:t>
            </w:r>
          </w:p>
        </w:tc>
        <w:tc>
          <w:tcPr>
            <w:tcW w:w="466" w:type="pct"/>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65"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56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1491" w:type="pct"/>
            <w:gridSpan w:val="2"/>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407" w:type="pct"/>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单位：万元</w:t>
            </w:r>
          </w:p>
        </w:tc>
      </w:tr>
      <w:tr>
        <w:tblPrEx>
          <w:tblCellMar>
            <w:top w:w="0" w:type="dxa"/>
            <w:left w:w="0" w:type="dxa"/>
            <w:bottom w:w="0" w:type="dxa"/>
            <w:right w:w="0" w:type="dxa"/>
          </w:tblCellMar>
        </w:tblPrEx>
        <w:trPr>
          <w:trHeight w:val="450" w:hRule="atLeast"/>
        </w:trPr>
        <w:tc>
          <w:tcPr>
            <w:tcW w:w="971" w:type="pct"/>
            <w:gridSpan w:val="4"/>
            <w:tcBorders>
              <w:top w:val="single" w:color="000000" w:sz="8"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项目</w:t>
            </w:r>
          </w:p>
        </w:tc>
        <w:tc>
          <w:tcPr>
            <w:tcW w:w="466"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本年收入合计</w:t>
            </w:r>
          </w:p>
        </w:tc>
        <w:tc>
          <w:tcPr>
            <w:tcW w:w="466" w:type="pct"/>
            <w:vMerge w:val="restar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财政拨款收入</w:t>
            </w:r>
          </w:p>
        </w:tc>
        <w:tc>
          <w:tcPr>
            <w:tcW w:w="466"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上级补助收入</w:t>
            </w:r>
          </w:p>
        </w:tc>
        <w:tc>
          <w:tcPr>
            <w:tcW w:w="732" w:type="pct"/>
            <w:gridSpan w:val="2"/>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事业收入</w:t>
            </w:r>
          </w:p>
        </w:tc>
        <w:tc>
          <w:tcPr>
            <w:tcW w:w="501"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经营收入</w:t>
            </w:r>
          </w:p>
        </w:tc>
        <w:tc>
          <w:tcPr>
            <w:tcW w:w="990"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附属单位上缴收入</w:t>
            </w:r>
          </w:p>
        </w:tc>
        <w:tc>
          <w:tcPr>
            <w:tcW w:w="407" w:type="pct"/>
            <w:vMerge w:val="restart"/>
            <w:tcBorders>
              <w:top w:val="single" w:color="000000" w:sz="8"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其他收入</w:t>
            </w:r>
          </w:p>
        </w:tc>
      </w:tr>
      <w:tr>
        <w:tblPrEx>
          <w:tblCellMar>
            <w:top w:w="0" w:type="dxa"/>
            <w:left w:w="0" w:type="dxa"/>
            <w:bottom w:w="0" w:type="dxa"/>
            <w:right w:w="0" w:type="dxa"/>
          </w:tblCellMar>
        </w:tblPrEx>
        <w:trPr>
          <w:trHeight w:val="450" w:hRule="atLeast"/>
        </w:trPr>
        <w:tc>
          <w:tcPr>
            <w:tcW w:w="352" w:type="pct"/>
            <w:gridSpan w:val="3"/>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支出功能分类科目编码</w:t>
            </w:r>
          </w:p>
        </w:tc>
        <w:tc>
          <w:tcPr>
            <w:tcW w:w="6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科目名称</w:t>
            </w:r>
          </w:p>
        </w:tc>
        <w:tc>
          <w:tcPr>
            <w:tcW w:w="466"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466" w:type="pct"/>
            <w:vMerge w:val="continue"/>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sz w:val="20"/>
                <w:szCs w:val="20"/>
              </w:rPr>
            </w:pPr>
          </w:p>
        </w:tc>
        <w:tc>
          <w:tcPr>
            <w:tcW w:w="466"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65"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小计</w:t>
            </w:r>
          </w:p>
        </w:tc>
        <w:tc>
          <w:tcPr>
            <w:tcW w:w="566"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其中：教育收费</w:t>
            </w:r>
          </w:p>
        </w:tc>
        <w:tc>
          <w:tcPr>
            <w:tcW w:w="501"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990"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407" w:type="pct"/>
            <w:vMerge w:val="continue"/>
            <w:tcBorders>
              <w:top w:val="single" w:color="000000" w:sz="8"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26" w:type="pct"/>
            <w:vMerge w:val="restart"/>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类</w:t>
            </w:r>
          </w:p>
        </w:tc>
        <w:tc>
          <w:tcPr>
            <w:tcW w:w="139" w:type="pct"/>
            <w:vMerge w:val="restart"/>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款</w:t>
            </w:r>
          </w:p>
        </w:tc>
        <w:tc>
          <w:tcPr>
            <w:tcW w:w="85" w:type="pct"/>
            <w:vMerge w:val="restart"/>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项</w:t>
            </w:r>
          </w:p>
        </w:tc>
        <w:tc>
          <w:tcPr>
            <w:tcW w:w="6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宋体" w:hAnsi="宋体" w:cs="宋体"/>
                <w:sz w:val="20"/>
                <w:szCs w:val="20"/>
              </w:rPr>
            </w:pPr>
            <w:r>
              <w:rPr>
                <w:rFonts w:hint="eastAsia" w:ascii="宋体" w:hAnsi="宋体" w:eastAsia="宋体" w:cs="宋体"/>
                <w:kern w:val="0"/>
                <w:sz w:val="20"/>
                <w:szCs w:val="20"/>
              </w:rPr>
              <w:t>栏次</w:t>
            </w:r>
          </w:p>
        </w:tc>
        <w:tc>
          <w:tcPr>
            <w:tcW w:w="466"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1</w:t>
            </w:r>
          </w:p>
        </w:tc>
        <w:tc>
          <w:tcPr>
            <w:tcW w:w="466"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2</w:t>
            </w:r>
          </w:p>
        </w:tc>
        <w:tc>
          <w:tcPr>
            <w:tcW w:w="466"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3</w:t>
            </w:r>
          </w:p>
        </w:tc>
        <w:tc>
          <w:tcPr>
            <w:tcW w:w="165"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4</w:t>
            </w:r>
          </w:p>
        </w:tc>
        <w:tc>
          <w:tcPr>
            <w:tcW w:w="566"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w:t>
            </w:r>
          </w:p>
        </w:tc>
        <w:tc>
          <w:tcPr>
            <w:tcW w:w="501"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6</w:t>
            </w:r>
          </w:p>
        </w:tc>
        <w:tc>
          <w:tcPr>
            <w:tcW w:w="990" w:type="pc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7</w:t>
            </w:r>
          </w:p>
        </w:tc>
        <w:tc>
          <w:tcPr>
            <w:tcW w:w="407" w:type="pct"/>
            <w:tcBorders>
              <w:top w:val="single" w:color="000000" w:sz="8"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8</w:t>
            </w:r>
          </w:p>
        </w:tc>
      </w:tr>
      <w:tr>
        <w:tblPrEx>
          <w:tblCellMar>
            <w:top w:w="0" w:type="dxa"/>
            <w:left w:w="0" w:type="dxa"/>
            <w:bottom w:w="0" w:type="dxa"/>
            <w:right w:w="0" w:type="dxa"/>
          </w:tblCellMar>
        </w:tblPrEx>
        <w:trPr>
          <w:trHeight w:val="450" w:hRule="atLeast"/>
        </w:trPr>
        <w:tc>
          <w:tcPr>
            <w:tcW w:w="126"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39"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85"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61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合计</w:t>
            </w:r>
          </w:p>
        </w:tc>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1,119.19</w:t>
            </w:r>
          </w:p>
        </w:tc>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1,119.19</w:t>
            </w:r>
          </w:p>
        </w:tc>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16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6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0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99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407" w:type="pct"/>
            <w:tcBorders>
              <w:top w:val="single" w:color="000000" w:sz="4"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352" w:type="pct"/>
            <w:gridSpan w:val="3"/>
            <w:tcBorders>
              <w:top w:val="nil"/>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204</w:t>
            </w:r>
          </w:p>
        </w:tc>
        <w:tc>
          <w:tcPr>
            <w:tcW w:w="619" w:type="pct"/>
            <w:tcBorders>
              <w:top w:val="nil"/>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b/>
                <w:bCs/>
                <w:kern w:val="0"/>
                <w:sz w:val="20"/>
                <w:szCs w:val="20"/>
              </w:rPr>
              <w:t>公共安全支出</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988.50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988.50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352" w:type="pct"/>
            <w:gridSpan w:val="3"/>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20404</w:t>
            </w:r>
          </w:p>
        </w:tc>
        <w:tc>
          <w:tcPr>
            <w:tcW w:w="6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检察</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988.50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988.50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352" w:type="pct"/>
            <w:gridSpan w:val="3"/>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2040401</w:t>
            </w:r>
          </w:p>
        </w:tc>
        <w:tc>
          <w:tcPr>
            <w:tcW w:w="6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行政运行</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616.09</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616.09</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1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9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407"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352" w:type="pct"/>
            <w:gridSpan w:val="3"/>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2040499</w:t>
            </w:r>
          </w:p>
        </w:tc>
        <w:tc>
          <w:tcPr>
            <w:tcW w:w="6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其他检察支出</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372.41</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372.41</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1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9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407"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352" w:type="pct"/>
            <w:gridSpan w:val="3"/>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208</w:t>
            </w:r>
          </w:p>
        </w:tc>
        <w:tc>
          <w:tcPr>
            <w:tcW w:w="6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社会保障和就业支出</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65.90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65.90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352" w:type="pct"/>
            <w:gridSpan w:val="3"/>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20805</w:t>
            </w:r>
          </w:p>
        </w:tc>
        <w:tc>
          <w:tcPr>
            <w:tcW w:w="6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行政事业单位养老支出</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65.90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65.90</w:t>
            </w:r>
          </w:p>
        </w:tc>
        <w:tc>
          <w:tcPr>
            <w:tcW w:w="4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352" w:type="pct"/>
            <w:gridSpan w:val="3"/>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2080501</w:t>
            </w:r>
          </w:p>
        </w:tc>
        <w:tc>
          <w:tcPr>
            <w:tcW w:w="619"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行政单位离退休</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18.66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18.66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266" w:type="pct"/>
            <w:gridSpan w:val="2"/>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2080505</w:t>
            </w:r>
          </w:p>
        </w:tc>
        <w:tc>
          <w:tcPr>
            <w:tcW w:w="704" w:type="pct"/>
            <w:gridSpan w:val="2"/>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 xml:space="preserve">  机关事业单位基本养老保险缴费支出</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47.24</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47.24</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266" w:type="pct"/>
            <w:gridSpan w:val="2"/>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210</w:t>
            </w:r>
          </w:p>
        </w:tc>
        <w:tc>
          <w:tcPr>
            <w:tcW w:w="704" w:type="pct"/>
            <w:gridSpan w:val="2"/>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卫生健康支出</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266" w:type="pct"/>
            <w:gridSpan w:val="2"/>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21011</w:t>
            </w:r>
          </w:p>
        </w:tc>
        <w:tc>
          <w:tcPr>
            <w:tcW w:w="704" w:type="pct"/>
            <w:gridSpan w:val="2"/>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行政事业单位医疗</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266" w:type="pct"/>
            <w:gridSpan w:val="2"/>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2101101</w:t>
            </w:r>
          </w:p>
        </w:tc>
        <w:tc>
          <w:tcPr>
            <w:tcW w:w="704" w:type="pct"/>
            <w:gridSpan w:val="2"/>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 xml:space="preserve">  行政单位医疗</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26.16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26.16</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266" w:type="pct"/>
            <w:gridSpan w:val="2"/>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221</w:t>
            </w:r>
          </w:p>
        </w:tc>
        <w:tc>
          <w:tcPr>
            <w:tcW w:w="704" w:type="pct"/>
            <w:gridSpan w:val="2"/>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住房保障支出</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266" w:type="pct"/>
            <w:gridSpan w:val="2"/>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22102</w:t>
            </w:r>
          </w:p>
        </w:tc>
        <w:tc>
          <w:tcPr>
            <w:tcW w:w="704" w:type="pct"/>
            <w:gridSpan w:val="2"/>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住房改革支出</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266" w:type="pct"/>
            <w:gridSpan w:val="2"/>
            <w:tcBorders>
              <w:top w:val="single" w:color="000000" w:sz="4" w:space="0"/>
              <w:left w:val="single" w:color="000000" w:sz="8"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2210201</w:t>
            </w:r>
          </w:p>
        </w:tc>
        <w:tc>
          <w:tcPr>
            <w:tcW w:w="704" w:type="pct"/>
            <w:gridSpan w:val="2"/>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 xml:space="preserve">  住房公积金</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38.63</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38.63</w:t>
            </w:r>
          </w:p>
        </w:tc>
        <w:tc>
          <w:tcPr>
            <w:tcW w:w="4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165"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6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0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990"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407"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615" w:hRule="atLeast"/>
        </w:trPr>
        <w:tc>
          <w:tcPr>
            <w:tcW w:w="5000" w:type="pct"/>
            <w:gridSpan w:val="12"/>
            <w:tcBorders>
              <w:top w:val="single" w:color="000000" w:sz="8" w:space="0"/>
              <w:left w:val="nil"/>
              <w:bottom w:val="nil"/>
              <w:right w:val="nil"/>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注：本表反映部门本年度取得的各项收入情况。本表金额转换为万元时，因四舍五入可能存在尾差。</w:t>
            </w:r>
          </w:p>
        </w:tc>
      </w:tr>
    </w:tbl>
    <w:p>
      <w:pPr>
        <w:rPr>
          <w:rFonts w:ascii="仿宋_GB2312" w:hAnsi="仿宋_GB2312" w:eastAsia="仿宋_GB2312" w:cs="仿宋_GB2312"/>
          <w:sz w:val="32"/>
          <w:szCs w:val="32"/>
        </w:rPr>
      </w:pPr>
    </w:p>
    <w:p>
      <w:pPr>
        <w:rPr>
          <w:rFonts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tbl>
      <w:tblPr>
        <w:tblStyle w:val="5"/>
        <w:tblW w:w="4987" w:type="pct"/>
        <w:tblInd w:w="0" w:type="dxa"/>
        <w:tblLayout w:type="autofit"/>
        <w:tblCellMar>
          <w:top w:w="0" w:type="dxa"/>
          <w:left w:w="0" w:type="dxa"/>
          <w:bottom w:w="0" w:type="dxa"/>
          <w:right w:w="0" w:type="dxa"/>
        </w:tblCellMar>
      </w:tblPr>
      <w:tblGrid>
        <w:gridCol w:w="846"/>
        <w:gridCol w:w="845"/>
        <w:gridCol w:w="617"/>
        <w:gridCol w:w="3909"/>
        <w:gridCol w:w="1392"/>
        <w:gridCol w:w="938"/>
        <w:gridCol w:w="938"/>
        <w:gridCol w:w="1392"/>
        <w:gridCol w:w="940"/>
        <w:gridCol w:w="2135"/>
      </w:tblGrid>
      <w:tr>
        <w:tblPrEx>
          <w:tblCellMar>
            <w:top w:w="0" w:type="dxa"/>
            <w:left w:w="0" w:type="dxa"/>
            <w:bottom w:w="0" w:type="dxa"/>
            <w:right w:w="0" w:type="dxa"/>
          </w:tblCellMar>
        </w:tblPrEx>
        <w:trPr>
          <w:trHeight w:val="90" w:hRule="atLeast"/>
        </w:trPr>
        <w:tc>
          <w:tcPr>
            <w:tcW w:w="5000" w:type="pct"/>
            <w:gridSpan w:val="10"/>
            <w:tcBorders>
              <w:top w:val="nil"/>
              <w:left w:val="nil"/>
              <w:bottom w:val="nil"/>
              <w:right w:val="nil"/>
            </w:tcBorders>
            <w:tcMar>
              <w:top w:w="15" w:type="dxa"/>
              <w:left w:w="15" w:type="dxa"/>
              <w:right w:w="15" w:type="dxa"/>
            </w:tcMar>
            <w:vAlign w:val="center"/>
          </w:tcPr>
          <w:p>
            <w:pPr>
              <w:widowControl/>
              <w:jc w:val="center"/>
              <w:textAlignment w:val="center"/>
              <w:rPr>
                <w:rFonts w:ascii="华文中宋" w:hAnsi="华文中宋" w:eastAsia="华文中宋" w:cs="华文中宋"/>
                <w:sz w:val="32"/>
                <w:szCs w:val="32"/>
              </w:rPr>
            </w:pPr>
            <w:r>
              <w:rPr>
                <w:rFonts w:hint="eastAsia" w:ascii="黑体" w:hAnsi="黑体" w:eastAsia="黑体" w:cs="黑体"/>
                <w:kern w:val="0"/>
                <w:sz w:val="36"/>
                <w:szCs w:val="36"/>
              </w:rPr>
              <w:t>支出决算表</w:t>
            </w:r>
          </w:p>
        </w:tc>
      </w:tr>
      <w:tr>
        <w:tblPrEx>
          <w:tblCellMar>
            <w:top w:w="0" w:type="dxa"/>
            <w:left w:w="0" w:type="dxa"/>
            <w:bottom w:w="0" w:type="dxa"/>
            <w:right w:w="0" w:type="dxa"/>
          </w:tblCellMar>
        </w:tblPrEx>
        <w:trPr>
          <w:trHeight w:val="90" w:hRule="atLeast"/>
        </w:trPr>
        <w:tc>
          <w:tcPr>
            <w:tcW w:w="606" w:type="pct"/>
            <w:gridSpan w:val="2"/>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221"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1401"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499"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33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33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499"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337"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765" w:type="pct"/>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公开03表</w:t>
            </w:r>
          </w:p>
        </w:tc>
      </w:tr>
      <w:tr>
        <w:tblPrEx>
          <w:tblCellMar>
            <w:top w:w="0" w:type="dxa"/>
            <w:left w:w="0" w:type="dxa"/>
            <w:bottom w:w="0" w:type="dxa"/>
            <w:right w:w="0" w:type="dxa"/>
          </w:tblCellMar>
        </w:tblPrEx>
        <w:trPr>
          <w:trHeight w:val="90" w:hRule="atLeast"/>
        </w:trPr>
        <w:tc>
          <w:tcPr>
            <w:tcW w:w="2228" w:type="pct"/>
            <w:gridSpan w:val="4"/>
            <w:tcBorders>
              <w:top w:val="nil"/>
              <w:left w:val="nil"/>
              <w:bottom w:val="nil"/>
              <w:right w:val="nil"/>
            </w:tcBorders>
            <w:shd w:val="clear" w:color="auto" w:fill="FFFFFF"/>
            <w:tcMar>
              <w:top w:w="15" w:type="dxa"/>
              <w:left w:w="15" w:type="dxa"/>
              <w:right w:w="15" w:type="dxa"/>
            </w:tcMar>
            <w:vAlign w:val="center"/>
          </w:tcPr>
          <w:p>
            <w:pPr>
              <w:jc w:val="left"/>
              <w:rPr>
                <w:rFonts w:ascii="宋体" w:hAnsi="宋体" w:cs="宋体"/>
                <w:sz w:val="20"/>
                <w:szCs w:val="20"/>
              </w:rPr>
            </w:pPr>
            <w:r>
              <w:rPr>
                <w:rFonts w:hint="eastAsia" w:ascii="宋体" w:hAnsi="宋体" w:cs="宋体"/>
                <w:kern w:val="0"/>
                <w:sz w:val="20"/>
                <w:szCs w:val="20"/>
              </w:rPr>
              <w:t>部门：焦作市马村区人民检察院</w:t>
            </w:r>
          </w:p>
        </w:tc>
        <w:tc>
          <w:tcPr>
            <w:tcW w:w="499"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336"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336" w:type="pct"/>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499"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337" w:type="pct"/>
            <w:tcBorders>
              <w:top w:val="nil"/>
              <w:left w:val="nil"/>
              <w:bottom w:val="nil"/>
              <w:right w:val="nil"/>
            </w:tcBorders>
            <w:shd w:val="clear" w:color="auto" w:fill="FFFFFF"/>
            <w:tcMar>
              <w:top w:w="15" w:type="dxa"/>
              <w:left w:w="15" w:type="dxa"/>
              <w:right w:w="15" w:type="dxa"/>
            </w:tcMar>
            <w:vAlign w:val="center"/>
          </w:tcPr>
          <w:p>
            <w:pPr>
              <w:jc w:val="right"/>
              <w:rPr>
                <w:rFonts w:ascii="宋体" w:hAnsi="宋体" w:cs="宋体"/>
                <w:sz w:val="20"/>
                <w:szCs w:val="20"/>
              </w:rPr>
            </w:pPr>
          </w:p>
        </w:tc>
        <w:tc>
          <w:tcPr>
            <w:tcW w:w="765" w:type="pct"/>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单位：万元</w:t>
            </w:r>
          </w:p>
        </w:tc>
      </w:tr>
      <w:tr>
        <w:tblPrEx>
          <w:tblCellMar>
            <w:top w:w="0" w:type="dxa"/>
            <w:left w:w="0" w:type="dxa"/>
            <w:bottom w:w="0" w:type="dxa"/>
            <w:right w:w="0" w:type="dxa"/>
          </w:tblCellMar>
        </w:tblPrEx>
        <w:trPr>
          <w:trHeight w:val="90" w:hRule="atLeast"/>
        </w:trPr>
        <w:tc>
          <w:tcPr>
            <w:tcW w:w="2228" w:type="pct"/>
            <w:gridSpan w:val="4"/>
            <w:tcBorders>
              <w:top w:val="single" w:color="000000" w:sz="8"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textAlignment w:val="center"/>
              <w:rPr>
                <w:rFonts w:ascii="宋体" w:hAnsi="宋体" w:cs="宋体"/>
                <w:sz w:val="20"/>
                <w:szCs w:val="20"/>
              </w:rPr>
            </w:pPr>
            <w:r>
              <w:rPr>
                <w:rFonts w:hint="eastAsia" w:ascii="宋体" w:hAnsi="宋体" w:eastAsia="宋体" w:cs="宋体"/>
                <w:kern w:val="0"/>
                <w:sz w:val="20"/>
                <w:szCs w:val="20"/>
              </w:rPr>
              <w:t>项目</w:t>
            </w:r>
          </w:p>
        </w:tc>
        <w:tc>
          <w:tcPr>
            <w:tcW w:w="499"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本年支出合计</w:t>
            </w:r>
          </w:p>
        </w:tc>
        <w:tc>
          <w:tcPr>
            <w:tcW w:w="336"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基本支出</w:t>
            </w:r>
          </w:p>
        </w:tc>
        <w:tc>
          <w:tcPr>
            <w:tcW w:w="336"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项目支出</w:t>
            </w:r>
          </w:p>
        </w:tc>
        <w:tc>
          <w:tcPr>
            <w:tcW w:w="499"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上缴上级支出</w:t>
            </w:r>
          </w:p>
        </w:tc>
        <w:tc>
          <w:tcPr>
            <w:tcW w:w="337" w:type="pct"/>
            <w:vMerge w:val="restart"/>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经营支出</w:t>
            </w:r>
          </w:p>
        </w:tc>
        <w:tc>
          <w:tcPr>
            <w:tcW w:w="765" w:type="pct"/>
            <w:vMerge w:val="restart"/>
            <w:tcBorders>
              <w:top w:val="single" w:color="000000" w:sz="8"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对附属单位补助支出</w:t>
            </w:r>
          </w:p>
        </w:tc>
      </w:tr>
      <w:tr>
        <w:tblPrEx>
          <w:tblCellMar>
            <w:top w:w="0" w:type="dxa"/>
            <w:left w:w="0" w:type="dxa"/>
            <w:bottom w:w="0" w:type="dxa"/>
            <w:right w:w="0" w:type="dxa"/>
          </w:tblCellMar>
        </w:tblPrEx>
        <w:trPr>
          <w:trHeight w:val="312" w:hRule="atLeast"/>
        </w:trPr>
        <w:tc>
          <w:tcPr>
            <w:tcW w:w="827" w:type="pct"/>
            <w:gridSpan w:val="3"/>
            <w:vMerge w:val="restart"/>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支出功能分类科目编码</w:t>
            </w:r>
          </w:p>
        </w:tc>
        <w:tc>
          <w:tcPr>
            <w:tcW w:w="1401"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科目名称</w:t>
            </w:r>
          </w:p>
        </w:tc>
        <w:tc>
          <w:tcPr>
            <w:tcW w:w="499"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336"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336"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499"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337"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765" w:type="pct"/>
            <w:vMerge w:val="continue"/>
            <w:tcBorders>
              <w:top w:val="single" w:color="000000" w:sz="8"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312" w:hRule="atLeast"/>
        </w:trPr>
        <w:tc>
          <w:tcPr>
            <w:tcW w:w="827" w:type="pct"/>
            <w:gridSpan w:val="3"/>
            <w:vMerge w:val="continue"/>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401"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499"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336"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336"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499"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337" w:type="pct"/>
            <w:vMerge w:val="continue"/>
            <w:tcBorders>
              <w:top w:val="single" w:color="000000" w:sz="8"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765" w:type="pct"/>
            <w:vMerge w:val="continue"/>
            <w:tcBorders>
              <w:top w:val="single" w:color="000000" w:sz="8"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90" w:hRule="atLeast"/>
        </w:trPr>
        <w:tc>
          <w:tcPr>
            <w:tcW w:w="303"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类</w:t>
            </w:r>
          </w:p>
        </w:tc>
        <w:tc>
          <w:tcPr>
            <w:tcW w:w="303"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款</w:t>
            </w:r>
          </w:p>
        </w:tc>
        <w:tc>
          <w:tcPr>
            <w:tcW w:w="221"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项</w:t>
            </w:r>
          </w:p>
        </w:tc>
        <w:tc>
          <w:tcPr>
            <w:tcW w:w="1401"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pPr>
            <w:r>
              <w:rPr>
                <w:rFonts w:hint="eastAsia" w:ascii="宋体" w:hAnsi="宋体" w:eastAsia="宋体" w:cs="宋体"/>
                <w:kern w:val="0"/>
                <w:sz w:val="20"/>
                <w:szCs w:val="20"/>
              </w:rPr>
              <w:t>栏次</w:t>
            </w:r>
          </w:p>
        </w:tc>
        <w:tc>
          <w:tcPr>
            <w:tcW w:w="4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1</w:t>
            </w:r>
          </w:p>
        </w:tc>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2</w:t>
            </w:r>
          </w:p>
        </w:tc>
        <w:tc>
          <w:tcPr>
            <w:tcW w:w="3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3</w:t>
            </w:r>
          </w:p>
        </w:tc>
        <w:tc>
          <w:tcPr>
            <w:tcW w:w="49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4</w:t>
            </w:r>
          </w:p>
        </w:tc>
        <w:tc>
          <w:tcPr>
            <w:tcW w:w="33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5</w:t>
            </w:r>
          </w:p>
        </w:tc>
        <w:tc>
          <w:tcPr>
            <w:tcW w:w="765" w:type="pct"/>
            <w:tcBorders>
              <w:top w:val="single" w:color="000000" w:sz="4" w:space="0"/>
              <w:left w:val="single" w:color="000000" w:sz="4" w:space="0"/>
              <w:bottom w:val="single" w:color="000000"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6</w:t>
            </w:r>
          </w:p>
        </w:tc>
      </w:tr>
      <w:tr>
        <w:tblPrEx>
          <w:tblCellMar>
            <w:top w:w="0" w:type="dxa"/>
            <w:left w:w="0" w:type="dxa"/>
            <w:bottom w:w="0" w:type="dxa"/>
            <w:right w:w="0" w:type="dxa"/>
          </w:tblCellMar>
        </w:tblPrEx>
        <w:trPr>
          <w:trHeight w:val="90" w:hRule="atLeast"/>
        </w:trPr>
        <w:tc>
          <w:tcPr>
            <w:tcW w:w="303" w:type="pct"/>
            <w:vMerge w:val="continue"/>
            <w:tcBorders>
              <w:top w:val="nil"/>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303" w:type="pct"/>
            <w:vMerge w:val="continue"/>
            <w:tcBorders>
              <w:top w:val="nil"/>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221" w:type="pct"/>
            <w:vMerge w:val="continue"/>
            <w:tcBorders>
              <w:top w:val="nil"/>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1401" w:type="pct"/>
            <w:tcBorders>
              <w:top w:val="nil"/>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合计</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1,301.28</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849.59</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451.70</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204</w:t>
            </w:r>
          </w:p>
        </w:tc>
        <w:tc>
          <w:tcPr>
            <w:tcW w:w="140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公共安全支出</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1,170.59</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718.89</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451.70</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3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765"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20404</w:t>
            </w:r>
          </w:p>
        </w:tc>
        <w:tc>
          <w:tcPr>
            <w:tcW w:w="140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检察</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1,170.59</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718.89</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451.70</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3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765"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2040401</w:t>
            </w:r>
          </w:p>
        </w:tc>
        <w:tc>
          <w:tcPr>
            <w:tcW w:w="140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行政运行</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718.89</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718.89</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2040402</w:t>
            </w:r>
          </w:p>
        </w:tc>
        <w:tc>
          <w:tcPr>
            <w:tcW w:w="140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一般行政管理事务</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25.47</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25.47</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4"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2040499</w:t>
            </w:r>
          </w:p>
        </w:tc>
        <w:tc>
          <w:tcPr>
            <w:tcW w:w="140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其他检察支出</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426.22</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3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426.22</w:t>
            </w:r>
          </w:p>
        </w:tc>
        <w:tc>
          <w:tcPr>
            <w:tcW w:w="4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208</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社会保障和就业支出</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20805</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行政事业单位养老支出</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65.90</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65.90</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b/>
                <w:bCs/>
                <w:kern w:val="0"/>
                <w:sz w:val="20"/>
                <w:szCs w:val="20"/>
              </w:rPr>
            </w:pPr>
            <w:r>
              <w:rPr>
                <w:rFonts w:hint="eastAsia" w:ascii="宋体" w:hAnsi="宋体" w:eastAsia="宋体" w:cs="宋体"/>
                <w:kern w:val="0"/>
                <w:sz w:val="20"/>
                <w:szCs w:val="20"/>
              </w:rPr>
              <w:t>2080501</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b/>
                <w:bCs/>
                <w:kern w:val="0"/>
                <w:sz w:val="20"/>
                <w:szCs w:val="20"/>
              </w:rPr>
            </w:pPr>
            <w:r>
              <w:rPr>
                <w:rFonts w:hint="eastAsia" w:ascii="宋体" w:hAnsi="宋体" w:eastAsia="宋体" w:cs="宋体"/>
                <w:kern w:val="0"/>
                <w:sz w:val="20"/>
                <w:szCs w:val="20"/>
              </w:rPr>
              <w:t xml:space="preserve">  行政单位离退休</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18.66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18.66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b/>
                <w:bCs/>
                <w:kern w:val="0"/>
                <w:sz w:val="20"/>
                <w:szCs w:val="20"/>
              </w:rPr>
            </w:pPr>
            <w:r>
              <w:rPr>
                <w:rFonts w:hint="eastAsia" w:ascii="宋体" w:hAnsi="宋体" w:eastAsia="宋体" w:cs="宋体"/>
                <w:kern w:val="0"/>
                <w:sz w:val="20"/>
                <w:szCs w:val="20"/>
              </w:rPr>
              <w:t>2080505</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b/>
                <w:bCs/>
                <w:kern w:val="0"/>
                <w:sz w:val="20"/>
                <w:szCs w:val="20"/>
              </w:rPr>
            </w:pPr>
            <w:r>
              <w:rPr>
                <w:rFonts w:hint="eastAsia" w:ascii="宋体" w:hAnsi="宋体" w:eastAsia="宋体" w:cs="宋体"/>
                <w:kern w:val="0"/>
                <w:sz w:val="20"/>
                <w:szCs w:val="20"/>
              </w:rPr>
              <w:t xml:space="preserve">  机关事业单位基本养老保险缴费支出</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47.24</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47.24</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210</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卫生健康支出</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26.16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26.16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26.16</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21011</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行政事业单位医疗</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26.16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26.16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26.16</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2101101</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 xml:space="preserve">  行政单位医疗</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kern w:val="0"/>
                <w:sz w:val="20"/>
                <w:szCs w:val="20"/>
              </w:rPr>
            </w:pPr>
            <w:r>
              <w:rPr>
                <w:rFonts w:hint="eastAsia" w:ascii="宋体" w:hAnsi="宋体" w:eastAsia="宋体" w:cs="宋体"/>
                <w:kern w:val="0"/>
                <w:sz w:val="20"/>
                <w:szCs w:val="20"/>
              </w:rPr>
              <w:t>26.16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kern w:val="0"/>
                <w:sz w:val="20"/>
                <w:szCs w:val="20"/>
              </w:rPr>
            </w:pPr>
            <w:r>
              <w:rPr>
                <w:rFonts w:hint="eastAsia" w:ascii="宋体" w:hAnsi="宋体" w:eastAsia="宋体" w:cs="宋体"/>
                <w:kern w:val="0"/>
                <w:sz w:val="20"/>
                <w:szCs w:val="20"/>
              </w:rPr>
              <w:t>26.16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kern w:val="0"/>
                <w:sz w:val="20"/>
                <w:szCs w:val="20"/>
              </w:rPr>
            </w:pPr>
            <w:r>
              <w:rPr>
                <w:rFonts w:hint="eastAsia" w:ascii="宋体" w:hAnsi="宋体" w:eastAsia="宋体" w:cs="宋体"/>
                <w:kern w:val="0"/>
                <w:sz w:val="20"/>
                <w:szCs w:val="20"/>
              </w:rPr>
              <w:t>26.16</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221</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住房保障支出</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38.63</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38.63</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38.63</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22102</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住房改革支出</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38.63</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38.63</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b/>
                <w:kern w:val="0"/>
                <w:sz w:val="20"/>
                <w:szCs w:val="20"/>
              </w:rPr>
            </w:pPr>
            <w:r>
              <w:rPr>
                <w:rFonts w:hint="eastAsia" w:ascii="宋体" w:hAnsi="宋体" w:eastAsia="宋体" w:cs="宋体"/>
                <w:b/>
                <w:kern w:val="0"/>
                <w:sz w:val="20"/>
                <w:szCs w:val="20"/>
              </w:rPr>
              <w:t>38.63</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b/>
                <w:kern w:val="0"/>
                <w:sz w:val="20"/>
                <w:szCs w:val="20"/>
              </w:rPr>
              <w:t>0.00</w:t>
            </w:r>
          </w:p>
        </w:tc>
      </w:tr>
      <w:tr>
        <w:tblPrEx>
          <w:tblCellMar>
            <w:top w:w="0" w:type="dxa"/>
            <w:left w:w="0" w:type="dxa"/>
            <w:bottom w:w="0" w:type="dxa"/>
            <w:right w:w="0" w:type="dxa"/>
          </w:tblCellMar>
        </w:tblPrEx>
        <w:trPr>
          <w:trHeight w:val="90" w:hRule="atLeast"/>
        </w:trPr>
        <w:tc>
          <w:tcPr>
            <w:tcW w:w="827" w:type="pct"/>
            <w:gridSpan w:val="3"/>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2210201</w:t>
            </w:r>
          </w:p>
        </w:tc>
        <w:tc>
          <w:tcPr>
            <w:tcW w:w="1401" w:type="pct"/>
            <w:tcBorders>
              <w:top w:val="single" w:color="000000" w:sz="4" w:space="0"/>
              <w:left w:val="single" w:color="000000" w:sz="4" w:space="0"/>
              <w:bottom w:val="single" w:color="000000" w:sz="8"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kern w:val="0"/>
                <w:sz w:val="20"/>
                <w:szCs w:val="20"/>
              </w:rPr>
            </w:pPr>
            <w:r>
              <w:rPr>
                <w:rFonts w:hint="eastAsia" w:ascii="宋体" w:hAnsi="宋体" w:eastAsia="宋体" w:cs="宋体"/>
                <w:kern w:val="0"/>
                <w:sz w:val="20"/>
                <w:szCs w:val="20"/>
              </w:rPr>
              <w:t xml:space="preserve">  住房公积金</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kern w:val="0"/>
                <w:sz w:val="20"/>
                <w:szCs w:val="20"/>
              </w:rPr>
            </w:pPr>
            <w:r>
              <w:rPr>
                <w:rFonts w:hint="eastAsia" w:ascii="宋体" w:hAnsi="宋体" w:eastAsia="宋体" w:cs="宋体"/>
                <w:kern w:val="0"/>
                <w:sz w:val="20"/>
                <w:szCs w:val="20"/>
              </w:rPr>
              <w:t>38.63</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kern w:val="0"/>
                <w:sz w:val="20"/>
                <w:szCs w:val="20"/>
              </w:rPr>
            </w:pPr>
            <w:r>
              <w:rPr>
                <w:rFonts w:hint="eastAsia" w:ascii="宋体" w:hAnsi="宋体" w:eastAsia="宋体" w:cs="宋体"/>
                <w:kern w:val="0"/>
                <w:sz w:val="20"/>
                <w:szCs w:val="20"/>
              </w:rPr>
              <w:t>38.36</w:t>
            </w:r>
          </w:p>
        </w:tc>
        <w:tc>
          <w:tcPr>
            <w:tcW w:w="336"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hint="eastAsia" w:ascii="宋体" w:hAnsi="宋体" w:eastAsia="宋体" w:cs="宋体"/>
                <w:kern w:val="0"/>
                <w:sz w:val="20"/>
                <w:szCs w:val="20"/>
              </w:rPr>
            </w:pPr>
            <w:r>
              <w:rPr>
                <w:rFonts w:hint="eastAsia" w:ascii="宋体" w:hAnsi="宋体" w:eastAsia="宋体" w:cs="宋体"/>
                <w:kern w:val="0"/>
                <w:sz w:val="20"/>
                <w:szCs w:val="20"/>
              </w:rPr>
              <w:t>38.36</w:t>
            </w:r>
          </w:p>
        </w:tc>
        <w:tc>
          <w:tcPr>
            <w:tcW w:w="499"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337"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c>
          <w:tcPr>
            <w:tcW w:w="765"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b/>
                <w:bCs/>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90" w:hRule="atLeast"/>
        </w:trPr>
        <w:tc>
          <w:tcPr>
            <w:tcW w:w="5000" w:type="pct"/>
            <w:gridSpan w:val="10"/>
            <w:tcBorders>
              <w:top w:val="single" w:color="000000" w:sz="8" w:space="0"/>
              <w:left w:val="nil"/>
              <w:bottom w:val="nil"/>
              <w:right w:val="nil"/>
            </w:tcBorders>
            <w:tcMar>
              <w:top w:w="15" w:type="dxa"/>
              <w:left w:w="15" w:type="dxa"/>
              <w:right w:w="15" w:type="dxa"/>
            </w:tcMar>
            <w:vAlign w:val="center"/>
          </w:tcPr>
          <w:p>
            <w:pPr>
              <w:widowControl/>
              <w:jc w:val="left"/>
              <w:textAlignment w:val="center"/>
              <w:rPr>
                <w:rFonts w:ascii="宋体" w:hAnsi="宋体" w:cs="宋体"/>
                <w:kern w:val="0"/>
                <w:sz w:val="20"/>
                <w:szCs w:val="20"/>
              </w:rPr>
            </w:pPr>
          </w:p>
          <w:p>
            <w:pPr>
              <w:widowControl/>
              <w:jc w:val="left"/>
              <w:textAlignment w:val="center"/>
              <w:rPr>
                <w:rFonts w:ascii="宋体" w:hAnsi="宋体" w:cs="宋体"/>
                <w:sz w:val="20"/>
                <w:szCs w:val="20"/>
              </w:rPr>
            </w:pPr>
            <w:r>
              <w:rPr>
                <w:rFonts w:hint="eastAsia" w:ascii="宋体" w:hAnsi="宋体" w:cs="宋体"/>
                <w:kern w:val="0"/>
                <w:sz w:val="20"/>
                <w:szCs w:val="20"/>
              </w:rPr>
              <w:t>注：本表反映部门本年度各项支出情况。本表金额转换为万元时，因四舍五入可能存在尾差。</w:t>
            </w:r>
          </w:p>
        </w:tc>
      </w:tr>
    </w:tbl>
    <w:p>
      <w:pPr>
        <w:rPr>
          <w:rFonts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tbl>
      <w:tblPr>
        <w:tblStyle w:val="5"/>
        <w:tblW w:w="5000" w:type="pct"/>
        <w:tblInd w:w="0" w:type="dxa"/>
        <w:tblLayout w:type="autofit"/>
        <w:tblCellMar>
          <w:top w:w="0" w:type="dxa"/>
          <w:left w:w="0" w:type="dxa"/>
          <w:bottom w:w="0" w:type="dxa"/>
          <w:right w:w="0" w:type="dxa"/>
        </w:tblCellMar>
      </w:tblPr>
      <w:tblGrid>
        <w:gridCol w:w="2503"/>
        <w:gridCol w:w="419"/>
        <w:gridCol w:w="929"/>
        <w:gridCol w:w="2672"/>
        <w:gridCol w:w="420"/>
        <w:gridCol w:w="920"/>
        <w:gridCol w:w="1939"/>
        <w:gridCol w:w="1995"/>
        <w:gridCol w:w="2191"/>
      </w:tblGrid>
      <w:tr>
        <w:tblPrEx>
          <w:tblCellMar>
            <w:top w:w="0" w:type="dxa"/>
            <w:left w:w="0" w:type="dxa"/>
            <w:bottom w:w="0" w:type="dxa"/>
            <w:right w:w="0" w:type="dxa"/>
          </w:tblCellMar>
        </w:tblPrEx>
        <w:trPr>
          <w:trHeight w:val="575" w:hRule="atLeast"/>
        </w:trPr>
        <w:tc>
          <w:tcPr>
            <w:tcW w:w="5000" w:type="pct"/>
            <w:gridSpan w:val="9"/>
            <w:tcBorders>
              <w:top w:val="nil"/>
              <w:left w:val="nil"/>
              <w:bottom w:val="nil"/>
              <w:right w:val="nil"/>
            </w:tcBorders>
            <w:tcMar>
              <w:top w:w="15" w:type="dxa"/>
              <w:left w:w="15" w:type="dxa"/>
              <w:right w:w="15" w:type="dxa"/>
            </w:tcMar>
            <w:vAlign w:val="bottom"/>
          </w:tcPr>
          <w:p>
            <w:pPr>
              <w:widowControl/>
              <w:jc w:val="center"/>
              <w:textAlignment w:val="bottom"/>
              <w:rPr>
                <w:rFonts w:ascii="华文中宋" w:hAnsi="华文中宋" w:eastAsia="华文中宋" w:cs="华文中宋"/>
                <w:sz w:val="32"/>
                <w:szCs w:val="32"/>
              </w:rPr>
            </w:pPr>
            <w:r>
              <w:rPr>
                <w:rFonts w:hint="eastAsia" w:ascii="黑体" w:hAnsi="宋体" w:eastAsia="黑体" w:cs="黑体"/>
                <w:kern w:val="0"/>
                <w:sz w:val="36"/>
                <w:szCs w:val="36"/>
              </w:rPr>
              <w:t>财政拨款收入支出决算总表</w:t>
            </w:r>
          </w:p>
        </w:tc>
      </w:tr>
      <w:tr>
        <w:tblPrEx>
          <w:tblCellMar>
            <w:top w:w="0" w:type="dxa"/>
            <w:left w:w="0" w:type="dxa"/>
            <w:bottom w:w="0" w:type="dxa"/>
            <w:right w:w="0" w:type="dxa"/>
          </w:tblCellMar>
        </w:tblPrEx>
        <w:trPr>
          <w:trHeight w:val="295" w:hRule="atLeast"/>
        </w:trPr>
        <w:tc>
          <w:tcPr>
            <w:tcW w:w="895" w:type="pct"/>
            <w:tcBorders>
              <w:top w:val="nil"/>
              <w:left w:val="nil"/>
              <w:bottom w:val="nil"/>
              <w:right w:val="nil"/>
            </w:tcBorders>
            <w:shd w:val="clear" w:color="auto" w:fill="FFFFFF"/>
            <w:tcMar>
              <w:top w:w="15" w:type="dxa"/>
              <w:left w:w="15" w:type="dxa"/>
              <w:right w:w="15" w:type="dxa"/>
            </w:tcMar>
            <w:vAlign w:val="bottom"/>
          </w:tcPr>
          <w:p>
            <w:pPr>
              <w:rPr>
                <w:rFonts w:ascii="宋体" w:hAnsi="宋体" w:cs="宋体"/>
                <w:sz w:val="20"/>
                <w:szCs w:val="20"/>
              </w:rPr>
            </w:pPr>
          </w:p>
        </w:tc>
        <w:tc>
          <w:tcPr>
            <w:tcW w:w="150" w:type="pct"/>
            <w:tcBorders>
              <w:top w:val="nil"/>
              <w:left w:val="nil"/>
              <w:bottom w:val="nil"/>
              <w:right w:val="nil"/>
            </w:tcBorders>
            <w:shd w:val="clear" w:color="auto" w:fill="FFFFFF"/>
            <w:tcMar>
              <w:top w:w="15" w:type="dxa"/>
              <w:left w:w="15" w:type="dxa"/>
              <w:right w:w="15" w:type="dxa"/>
            </w:tcMar>
            <w:vAlign w:val="bottom"/>
          </w:tcPr>
          <w:p/>
        </w:tc>
        <w:tc>
          <w:tcPr>
            <w:tcW w:w="332" w:type="pct"/>
            <w:tcBorders>
              <w:top w:val="nil"/>
              <w:left w:val="nil"/>
              <w:bottom w:val="nil"/>
              <w:right w:val="nil"/>
            </w:tcBorders>
            <w:shd w:val="clear" w:color="auto" w:fill="FFFFFF"/>
            <w:tcMar>
              <w:top w:w="15" w:type="dxa"/>
              <w:left w:w="15" w:type="dxa"/>
              <w:right w:w="15" w:type="dxa"/>
            </w:tcMar>
            <w:vAlign w:val="bottom"/>
          </w:tcPr>
          <w:p/>
        </w:tc>
        <w:tc>
          <w:tcPr>
            <w:tcW w:w="955" w:type="pct"/>
            <w:tcBorders>
              <w:top w:val="nil"/>
              <w:left w:val="nil"/>
              <w:bottom w:val="nil"/>
              <w:right w:val="nil"/>
            </w:tcBorders>
            <w:shd w:val="clear" w:color="auto" w:fill="FFFFFF"/>
            <w:tcMar>
              <w:top w:w="15" w:type="dxa"/>
              <w:left w:w="15" w:type="dxa"/>
              <w:right w:w="15" w:type="dxa"/>
            </w:tcMar>
            <w:vAlign w:val="bottom"/>
          </w:tcPr>
          <w:p/>
        </w:tc>
        <w:tc>
          <w:tcPr>
            <w:tcW w:w="150" w:type="pct"/>
            <w:tcBorders>
              <w:top w:val="nil"/>
              <w:left w:val="nil"/>
              <w:bottom w:val="nil"/>
              <w:right w:val="nil"/>
            </w:tcBorders>
            <w:shd w:val="clear" w:color="auto" w:fill="FFFFFF"/>
            <w:tcMar>
              <w:top w:w="15" w:type="dxa"/>
              <w:left w:w="15" w:type="dxa"/>
              <w:right w:w="15" w:type="dxa"/>
            </w:tcMar>
            <w:vAlign w:val="bottom"/>
          </w:tcPr>
          <w:p/>
        </w:tc>
        <w:tc>
          <w:tcPr>
            <w:tcW w:w="329" w:type="pct"/>
            <w:tcBorders>
              <w:top w:val="nil"/>
              <w:left w:val="nil"/>
              <w:bottom w:val="nil"/>
              <w:right w:val="nil"/>
            </w:tcBorders>
            <w:shd w:val="clear" w:color="auto" w:fill="FFFFFF"/>
            <w:tcMar>
              <w:top w:w="15" w:type="dxa"/>
              <w:left w:w="15" w:type="dxa"/>
              <w:right w:w="15" w:type="dxa"/>
            </w:tcMar>
            <w:vAlign w:val="bottom"/>
          </w:tcPr>
          <w:p/>
        </w:tc>
        <w:tc>
          <w:tcPr>
            <w:tcW w:w="693" w:type="pct"/>
            <w:tcBorders>
              <w:top w:val="nil"/>
              <w:left w:val="nil"/>
              <w:bottom w:val="nil"/>
              <w:right w:val="nil"/>
            </w:tcBorders>
            <w:shd w:val="clear" w:color="auto" w:fill="FFFFFF"/>
            <w:tcMar>
              <w:top w:w="15" w:type="dxa"/>
              <w:left w:w="15" w:type="dxa"/>
              <w:right w:w="15" w:type="dxa"/>
            </w:tcMar>
            <w:vAlign w:val="bottom"/>
          </w:tcPr>
          <w:p>
            <w:pPr>
              <w:rPr>
                <w:rFonts w:ascii="宋体" w:hAnsi="宋体" w:cs="宋体"/>
                <w:sz w:val="20"/>
                <w:szCs w:val="20"/>
              </w:rPr>
            </w:pPr>
          </w:p>
        </w:tc>
        <w:tc>
          <w:tcPr>
            <w:tcW w:w="713" w:type="pct"/>
            <w:tcBorders>
              <w:top w:val="nil"/>
              <w:left w:val="nil"/>
              <w:bottom w:val="nil"/>
              <w:right w:val="nil"/>
            </w:tcBorders>
            <w:shd w:val="clear" w:color="auto" w:fill="FFFFFF"/>
            <w:tcMar>
              <w:top w:w="15" w:type="dxa"/>
              <w:left w:w="15" w:type="dxa"/>
              <w:right w:w="15" w:type="dxa"/>
            </w:tcMar>
            <w:vAlign w:val="bottom"/>
          </w:tcPr>
          <w:p>
            <w:pPr>
              <w:rPr>
                <w:rFonts w:ascii="宋体" w:hAnsi="宋体" w:cs="宋体"/>
                <w:sz w:val="20"/>
                <w:szCs w:val="20"/>
              </w:rPr>
            </w:pPr>
          </w:p>
        </w:tc>
        <w:tc>
          <w:tcPr>
            <w:tcW w:w="779" w:type="pct"/>
            <w:tcBorders>
              <w:top w:val="nil"/>
              <w:left w:val="nil"/>
              <w:bottom w:val="nil"/>
              <w:right w:val="nil"/>
            </w:tcBorders>
            <w:shd w:val="clear" w:color="auto" w:fill="FFFFFF"/>
            <w:tcMar>
              <w:top w:w="15" w:type="dxa"/>
              <w:left w:w="15" w:type="dxa"/>
              <w:right w:w="15" w:type="dxa"/>
            </w:tcMar>
            <w:vAlign w:val="bottom"/>
          </w:tcPr>
          <w:p>
            <w:pPr>
              <w:widowControl/>
              <w:jc w:val="right"/>
              <w:textAlignment w:val="bottom"/>
              <w:rPr>
                <w:rFonts w:ascii="宋体" w:hAnsi="宋体" w:cs="宋体"/>
                <w:sz w:val="20"/>
                <w:szCs w:val="20"/>
              </w:rPr>
            </w:pPr>
            <w:r>
              <w:rPr>
                <w:rFonts w:hint="eastAsia" w:ascii="宋体" w:hAnsi="宋体" w:eastAsia="宋体" w:cs="宋体"/>
                <w:kern w:val="0"/>
                <w:sz w:val="20"/>
                <w:szCs w:val="20"/>
              </w:rPr>
              <w:t>公开04表</w:t>
            </w:r>
          </w:p>
        </w:tc>
      </w:tr>
      <w:tr>
        <w:tblPrEx>
          <w:tblCellMar>
            <w:top w:w="0" w:type="dxa"/>
            <w:left w:w="0" w:type="dxa"/>
            <w:bottom w:w="0" w:type="dxa"/>
            <w:right w:w="0" w:type="dxa"/>
          </w:tblCellMar>
        </w:tblPrEx>
        <w:trPr>
          <w:trHeight w:val="295" w:hRule="atLeast"/>
        </w:trPr>
        <w:tc>
          <w:tcPr>
            <w:tcW w:w="1377" w:type="pct"/>
            <w:gridSpan w:val="3"/>
            <w:tcBorders>
              <w:top w:val="nil"/>
              <w:left w:val="nil"/>
              <w:bottom w:val="nil"/>
              <w:right w:val="nil"/>
            </w:tcBorders>
            <w:shd w:val="clear" w:color="auto" w:fill="FFFFFF"/>
            <w:tcMar>
              <w:top w:w="15" w:type="dxa"/>
              <w:left w:w="15" w:type="dxa"/>
              <w:right w:w="15" w:type="dxa"/>
            </w:tcMar>
            <w:vAlign w:val="bottom"/>
          </w:tcPr>
          <w:p>
            <w:r>
              <w:rPr>
                <w:rFonts w:hint="eastAsia" w:ascii="宋体" w:hAnsi="宋体" w:eastAsia="宋体" w:cs="宋体"/>
                <w:kern w:val="0"/>
                <w:sz w:val="20"/>
                <w:szCs w:val="20"/>
              </w:rPr>
              <w:t>部门：</w:t>
            </w:r>
            <w:r>
              <w:rPr>
                <w:rFonts w:hint="eastAsia" w:ascii="宋体" w:hAnsi="宋体" w:cs="宋体"/>
                <w:kern w:val="0"/>
                <w:sz w:val="20"/>
                <w:szCs w:val="20"/>
              </w:rPr>
              <w:t>焦作市马村区人民检察院</w:t>
            </w:r>
          </w:p>
        </w:tc>
        <w:tc>
          <w:tcPr>
            <w:tcW w:w="955" w:type="pct"/>
            <w:tcBorders>
              <w:top w:val="nil"/>
              <w:left w:val="nil"/>
              <w:bottom w:val="nil"/>
              <w:right w:val="nil"/>
            </w:tcBorders>
            <w:shd w:val="clear" w:color="auto" w:fill="FFFFFF"/>
            <w:tcMar>
              <w:top w:w="15" w:type="dxa"/>
              <w:left w:w="15" w:type="dxa"/>
              <w:right w:w="15" w:type="dxa"/>
            </w:tcMar>
            <w:vAlign w:val="bottom"/>
          </w:tcPr>
          <w:p/>
        </w:tc>
        <w:tc>
          <w:tcPr>
            <w:tcW w:w="150" w:type="pct"/>
            <w:tcBorders>
              <w:top w:val="nil"/>
              <w:left w:val="nil"/>
              <w:bottom w:val="nil"/>
              <w:right w:val="nil"/>
            </w:tcBorders>
            <w:shd w:val="clear" w:color="auto" w:fill="FFFFFF"/>
            <w:tcMar>
              <w:top w:w="15" w:type="dxa"/>
              <w:left w:w="15" w:type="dxa"/>
              <w:right w:w="15" w:type="dxa"/>
            </w:tcMar>
            <w:vAlign w:val="bottom"/>
          </w:tcPr>
          <w:p/>
        </w:tc>
        <w:tc>
          <w:tcPr>
            <w:tcW w:w="329" w:type="pct"/>
            <w:tcBorders>
              <w:top w:val="nil"/>
              <w:left w:val="nil"/>
              <w:bottom w:val="nil"/>
              <w:right w:val="nil"/>
            </w:tcBorders>
            <w:shd w:val="clear" w:color="auto" w:fill="FFFFFF"/>
            <w:tcMar>
              <w:top w:w="15" w:type="dxa"/>
              <w:left w:w="15" w:type="dxa"/>
              <w:right w:w="15" w:type="dxa"/>
            </w:tcMar>
            <w:vAlign w:val="bottom"/>
          </w:tcPr>
          <w:p/>
        </w:tc>
        <w:tc>
          <w:tcPr>
            <w:tcW w:w="693" w:type="pct"/>
            <w:tcBorders>
              <w:top w:val="nil"/>
              <w:left w:val="nil"/>
              <w:bottom w:val="nil"/>
              <w:right w:val="nil"/>
            </w:tcBorders>
            <w:shd w:val="clear" w:color="auto" w:fill="FFFFFF"/>
            <w:tcMar>
              <w:top w:w="15" w:type="dxa"/>
              <w:left w:w="15" w:type="dxa"/>
              <w:right w:w="15" w:type="dxa"/>
            </w:tcMar>
            <w:vAlign w:val="bottom"/>
          </w:tcPr>
          <w:p>
            <w:pPr>
              <w:rPr>
                <w:rFonts w:ascii="宋体" w:hAnsi="宋体" w:cs="宋体"/>
                <w:sz w:val="20"/>
                <w:szCs w:val="20"/>
              </w:rPr>
            </w:pPr>
          </w:p>
        </w:tc>
        <w:tc>
          <w:tcPr>
            <w:tcW w:w="713" w:type="pct"/>
            <w:tcBorders>
              <w:top w:val="nil"/>
              <w:left w:val="nil"/>
              <w:bottom w:val="nil"/>
              <w:right w:val="nil"/>
            </w:tcBorders>
            <w:shd w:val="clear" w:color="auto" w:fill="FFFFFF"/>
            <w:tcMar>
              <w:top w:w="15" w:type="dxa"/>
              <w:left w:w="15" w:type="dxa"/>
              <w:right w:w="15" w:type="dxa"/>
            </w:tcMar>
            <w:vAlign w:val="bottom"/>
          </w:tcPr>
          <w:p>
            <w:pPr>
              <w:rPr>
                <w:rFonts w:ascii="宋体" w:hAnsi="宋体" w:cs="宋体"/>
                <w:sz w:val="20"/>
                <w:szCs w:val="20"/>
              </w:rPr>
            </w:pPr>
          </w:p>
        </w:tc>
        <w:tc>
          <w:tcPr>
            <w:tcW w:w="779" w:type="pct"/>
            <w:tcBorders>
              <w:top w:val="nil"/>
              <w:left w:val="nil"/>
              <w:bottom w:val="nil"/>
              <w:right w:val="nil"/>
            </w:tcBorders>
            <w:shd w:val="clear" w:color="auto" w:fill="FFFFFF"/>
            <w:tcMar>
              <w:top w:w="15" w:type="dxa"/>
              <w:left w:w="15" w:type="dxa"/>
              <w:right w:w="15" w:type="dxa"/>
            </w:tcMar>
            <w:vAlign w:val="bottom"/>
          </w:tcPr>
          <w:p>
            <w:pPr>
              <w:widowControl/>
              <w:jc w:val="right"/>
              <w:textAlignment w:val="bottom"/>
              <w:rPr>
                <w:rFonts w:ascii="宋体" w:hAnsi="宋体" w:cs="宋体"/>
                <w:sz w:val="20"/>
                <w:szCs w:val="20"/>
              </w:rPr>
            </w:pPr>
            <w:r>
              <w:rPr>
                <w:rFonts w:hint="eastAsia" w:ascii="宋体" w:hAnsi="宋体" w:eastAsia="宋体" w:cs="宋体"/>
                <w:kern w:val="0"/>
                <w:sz w:val="20"/>
                <w:szCs w:val="20"/>
              </w:rPr>
              <w:t>金额单位：万元</w:t>
            </w:r>
          </w:p>
        </w:tc>
      </w:tr>
      <w:tr>
        <w:tblPrEx>
          <w:tblCellMar>
            <w:top w:w="0" w:type="dxa"/>
            <w:left w:w="0" w:type="dxa"/>
            <w:bottom w:w="0" w:type="dxa"/>
            <w:right w:w="0" w:type="dxa"/>
          </w:tblCellMar>
        </w:tblPrEx>
        <w:trPr>
          <w:trHeight w:val="394" w:hRule="atLeast"/>
        </w:trPr>
        <w:tc>
          <w:tcPr>
            <w:tcW w:w="1377" w:type="pct"/>
            <w:gridSpan w:val="3"/>
            <w:tcBorders>
              <w:top w:val="single" w:color="000000" w:sz="8"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收     入</w:t>
            </w:r>
          </w:p>
        </w:tc>
        <w:tc>
          <w:tcPr>
            <w:tcW w:w="3622" w:type="pct"/>
            <w:gridSpan w:val="6"/>
            <w:tcBorders>
              <w:top w:val="single" w:color="000000" w:sz="8"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支     出</w:t>
            </w:r>
          </w:p>
        </w:tc>
      </w:tr>
      <w:tr>
        <w:tblPrEx>
          <w:tblCellMar>
            <w:top w:w="0" w:type="dxa"/>
            <w:left w:w="0" w:type="dxa"/>
            <w:bottom w:w="0" w:type="dxa"/>
            <w:right w:w="0" w:type="dxa"/>
          </w:tblCellMar>
        </w:tblPrEx>
        <w:trPr>
          <w:trHeight w:val="590" w:hRule="atLeast"/>
        </w:trPr>
        <w:tc>
          <w:tcPr>
            <w:tcW w:w="895"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项    目</w:t>
            </w:r>
          </w:p>
        </w:tc>
        <w:tc>
          <w:tcPr>
            <w:tcW w:w="150"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行次</w:t>
            </w:r>
          </w:p>
        </w:tc>
        <w:tc>
          <w:tcPr>
            <w:tcW w:w="332"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决算数</w:t>
            </w:r>
          </w:p>
        </w:tc>
        <w:tc>
          <w:tcPr>
            <w:tcW w:w="955"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项目（按功能分类）</w:t>
            </w:r>
          </w:p>
        </w:tc>
        <w:tc>
          <w:tcPr>
            <w:tcW w:w="150" w:type="pct"/>
            <w:vMerge w:val="restar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行次</w:t>
            </w:r>
          </w:p>
        </w:tc>
        <w:tc>
          <w:tcPr>
            <w:tcW w:w="2516" w:type="pct"/>
            <w:gridSpan w:val="4"/>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决算数</w:t>
            </w:r>
          </w:p>
        </w:tc>
      </w:tr>
      <w:tr>
        <w:tblPrEx>
          <w:tblCellMar>
            <w:top w:w="0" w:type="dxa"/>
            <w:left w:w="0" w:type="dxa"/>
            <w:bottom w:w="0" w:type="dxa"/>
            <w:right w:w="0" w:type="dxa"/>
          </w:tblCellMar>
        </w:tblPrEx>
        <w:trPr>
          <w:trHeight w:val="385" w:hRule="atLeast"/>
        </w:trPr>
        <w:tc>
          <w:tcPr>
            <w:tcW w:w="895"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50"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332"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955"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150" w:type="pct"/>
            <w:vMerge w:val="continue"/>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center"/>
            </w:pPr>
          </w:p>
        </w:tc>
        <w:tc>
          <w:tcPr>
            <w:tcW w:w="32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小计</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一般公共预算财政拨款</w:t>
            </w:r>
          </w:p>
        </w:tc>
        <w:tc>
          <w:tcPr>
            <w:tcW w:w="71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政府性基金预算财政拨款</w:t>
            </w:r>
          </w:p>
        </w:tc>
        <w:tc>
          <w:tcPr>
            <w:tcW w:w="7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国有资本经营预算财政拨款</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栏    次</w:t>
            </w: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center"/>
            </w:pPr>
          </w:p>
        </w:tc>
        <w:tc>
          <w:tcPr>
            <w:tcW w:w="33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w:t>
            </w:r>
          </w:p>
        </w:tc>
        <w:tc>
          <w:tcPr>
            <w:tcW w:w="9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栏    次</w:t>
            </w: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center"/>
            </w:pPr>
          </w:p>
        </w:tc>
        <w:tc>
          <w:tcPr>
            <w:tcW w:w="32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12</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13</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14</w:t>
            </w:r>
          </w:p>
        </w:tc>
        <w:tc>
          <w:tcPr>
            <w:tcW w:w="7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15</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一、一般公共预算财政拨款</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w:t>
            </w:r>
          </w:p>
        </w:tc>
        <w:tc>
          <w:tcPr>
            <w:tcW w:w="332"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1,119.19</w:t>
            </w:r>
          </w:p>
        </w:tc>
        <w:tc>
          <w:tcPr>
            <w:tcW w:w="95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一、一般公共服务支出</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33</w:t>
            </w:r>
          </w:p>
        </w:tc>
        <w:tc>
          <w:tcPr>
            <w:tcW w:w="32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二、政府性基金预算财政拨款</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2</w:t>
            </w:r>
          </w:p>
        </w:tc>
        <w:tc>
          <w:tcPr>
            <w:tcW w:w="332"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5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二、外交支出</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34</w:t>
            </w:r>
          </w:p>
        </w:tc>
        <w:tc>
          <w:tcPr>
            <w:tcW w:w="32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三、国有资本经营预算财政拨款</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w:t>
            </w:r>
          </w:p>
        </w:tc>
        <w:tc>
          <w:tcPr>
            <w:tcW w:w="332"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5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三、国防支出</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35</w:t>
            </w:r>
          </w:p>
        </w:tc>
        <w:tc>
          <w:tcPr>
            <w:tcW w:w="32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000000"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ascii="宋体" w:hAnsi="宋体" w:cs="宋体"/>
                <w:sz w:val="20"/>
                <w:szCs w:val="20"/>
              </w:rPr>
            </w:pP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w:t>
            </w:r>
          </w:p>
        </w:tc>
        <w:tc>
          <w:tcPr>
            <w:tcW w:w="332"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四、公共安全支出</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36</w:t>
            </w:r>
          </w:p>
        </w:tc>
        <w:tc>
          <w:tcPr>
            <w:tcW w:w="32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1,167.59</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1,167.59</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000000"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ascii="宋体" w:hAnsi="宋体" w:cs="宋体"/>
                <w:sz w:val="20"/>
                <w:szCs w:val="20"/>
              </w:rPr>
            </w:pP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5</w:t>
            </w:r>
          </w:p>
        </w:tc>
        <w:tc>
          <w:tcPr>
            <w:tcW w:w="332"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五、教育支出</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37</w:t>
            </w:r>
          </w:p>
        </w:tc>
        <w:tc>
          <w:tcPr>
            <w:tcW w:w="32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000000"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ascii="宋体" w:hAnsi="宋体" w:cs="宋体"/>
                <w:sz w:val="20"/>
                <w:szCs w:val="20"/>
              </w:rPr>
            </w:pP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6</w:t>
            </w:r>
          </w:p>
        </w:tc>
        <w:tc>
          <w:tcPr>
            <w:tcW w:w="332"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六、科学技术支出</w:t>
            </w:r>
          </w:p>
        </w:tc>
        <w:tc>
          <w:tcPr>
            <w:tcW w:w="150"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38</w:t>
            </w:r>
          </w:p>
        </w:tc>
        <w:tc>
          <w:tcPr>
            <w:tcW w:w="329" w:type="pct"/>
            <w:tcBorders>
              <w:top w:val="single" w:color="000000" w:sz="4" w:space="0"/>
              <w:left w:val="single" w:color="000000" w:sz="8"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0"/>
                <w:szCs w:val="20"/>
              </w:rPr>
            </w:pP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7</w:t>
            </w:r>
          </w:p>
        </w:tc>
        <w:tc>
          <w:tcPr>
            <w:tcW w:w="33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七、文化旅游体育与传媒支出</w:t>
            </w: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39</w:t>
            </w:r>
          </w:p>
        </w:tc>
        <w:tc>
          <w:tcPr>
            <w:tcW w:w="32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8</w:t>
            </w:r>
          </w:p>
        </w:tc>
        <w:tc>
          <w:tcPr>
            <w:tcW w:w="33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八、社会保障和就业支出</w:t>
            </w: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40</w:t>
            </w:r>
          </w:p>
        </w:tc>
        <w:tc>
          <w:tcPr>
            <w:tcW w:w="32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65.90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65.90</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0"/>
                <w:szCs w:val="20"/>
              </w:rPr>
            </w:pP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9</w:t>
            </w:r>
          </w:p>
        </w:tc>
        <w:tc>
          <w:tcPr>
            <w:tcW w:w="33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九、卫生健康支出</w:t>
            </w: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41</w:t>
            </w:r>
          </w:p>
        </w:tc>
        <w:tc>
          <w:tcPr>
            <w:tcW w:w="32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26.16</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26.16</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sz w:val="20"/>
                <w:szCs w:val="20"/>
              </w:rPr>
            </w:pP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10</w:t>
            </w:r>
          </w:p>
        </w:tc>
        <w:tc>
          <w:tcPr>
            <w:tcW w:w="33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十、节能环保支出</w:t>
            </w:r>
          </w:p>
        </w:tc>
        <w:tc>
          <w:tcPr>
            <w:tcW w:w="150"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42</w:t>
            </w:r>
          </w:p>
        </w:tc>
        <w:tc>
          <w:tcPr>
            <w:tcW w:w="329"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auto" w:sz="4" w:space="0"/>
              <w:right w:val="nil"/>
            </w:tcBorders>
            <w:shd w:val="clear" w:color="auto" w:fill="auto"/>
            <w:tcMar>
              <w:top w:w="15" w:type="dxa"/>
              <w:left w:w="15" w:type="dxa"/>
              <w:right w:w="15" w:type="dxa"/>
            </w:tcMar>
            <w:vAlign w:val="center"/>
          </w:tcPr>
          <w:p>
            <w:pPr>
              <w:jc w:val="left"/>
              <w:rPr>
                <w:rFonts w:ascii="宋体" w:hAnsi="宋体" w:cs="宋体"/>
                <w:sz w:val="20"/>
                <w:szCs w:val="20"/>
              </w:rPr>
            </w:pPr>
          </w:p>
        </w:tc>
        <w:tc>
          <w:tcPr>
            <w:tcW w:w="150" w:type="pct"/>
            <w:tcBorders>
              <w:top w:val="single" w:color="000000"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11</w:t>
            </w:r>
          </w:p>
        </w:tc>
        <w:tc>
          <w:tcPr>
            <w:tcW w:w="332" w:type="pct"/>
            <w:tcBorders>
              <w:top w:val="single" w:color="000000" w:sz="4" w:space="0"/>
              <w:left w:val="single" w:color="000000" w:sz="8" w:space="0"/>
              <w:bottom w:val="single" w:color="auto" w:sz="4" w:space="0"/>
              <w:right w:val="nil"/>
            </w:tcBorders>
            <w:shd w:val="clear" w:color="auto" w:fill="auto"/>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十一、城乡社区支出</w:t>
            </w:r>
          </w:p>
        </w:tc>
        <w:tc>
          <w:tcPr>
            <w:tcW w:w="150" w:type="pct"/>
            <w:tcBorders>
              <w:top w:val="single" w:color="000000"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43</w:t>
            </w:r>
          </w:p>
        </w:tc>
        <w:tc>
          <w:tcPr>
            <w:tcW w:w="329" w:type="pct"/>
            <w:tcBorders>
              <w:top w:val="single" w:color="000000"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12" w:hRule="atLeast"/>
        </w:trPr>
        <w:tc>
          <w:tcPr>
            <w:tcW w:w="895" w:type="pc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pPr>
              <w:jc w:val="left"/>
              <w:rPr>
                <w:rFonts w:ascii="宋体" w:hAnsi="宋体" w:cs="宋体"/>
                <w:sz w:val="20"/>
                <w:szCs w:val="20"/>
              </w:rPr>
            </w:pPr>
          </w:p>
        </w:tc>
        <w:tc>
          <w:tcPr>
            <w:tcW w:w="150" w:type="pct"/>
            <w:tcBorders>
              <w:top w:val="single" w:color="auto"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12</w:t>
            </w:r>
          </w:p>
        </w:tc>
        <w:tc>
          <w:tcPr>
            <w:tcW w:w="332" w:type="pct"/>
            <w:tcBorders>
              <w:top w:val="single" w:color="auto" w:sz="4" w:space="0"/>
              <w:left w:val="single" w:color="000000" w:sz="8" w:space="0"/>
              <w:bottom w:val="single" w:color="auto" w:sz="4" w:space="0"/>
              <w:right w:val="nil"/>
            </w:tcBorders>
            <w:shd w:val="clear" w:color="auto" w:fill="auto"/>
            <w:tcMar>
              <w:top w:w="15" w:type="dxa"/>
              <w:left w:w="15" w:type="dxa"/>
              <w:right w:w="15" w:type="dxa"/>
            </w:tcMar>
            <w:vAlign w:val="center"/>
          </w:tcPr>
          <w:p>
            <w:pPr>
              <w:jc w:val="right"/>
            </w:pPr>
          </w:p>
        </w:tc>
        <w:tc>
          <w:tcPr>
            <w:tcW w:w="955" w:type="pct"/>
            <w:tcBorders>
              <w:top w:val="single" w:color="auto"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十二、农林水支出</w:t>
            </w:r>
          </w:p>
        </w:tc>
        <w:tc>
          <w:tcPr>
            <w:tcW w:w="150" w:type="pct"/>
            <w:tcBorders>
              <w:top w:val="single" w:color="auto"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44</w:t>
            </w:r>
          </w:p>
        </w:tc>
        <w:tc>
          <w:tcPr>
            <w:tcW w:w="329" w:type="pct"/>
            <w:tcBorders>
              <w:top w:val="single" w:color="auto" w:sz="4" w:space="0"/>
              <w:left w:val="single" w:color="000000" w:sz="8" w:space="0"/>
              <w:bottom w:val="single" w:color="auto" w:sz="4" w:space="0"/>
              <w:right w:val="nil"/>
            </w:tcBorders>
            <w:shd w:val="clear" w:color="auto" w:fill="auto"/>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auto"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auto"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auto"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13</w:t>
            </w:r>
          </w:p>
        </w:tc>
        <w:tc>
          <w:tcPr>
            <w:tcW w:w="332" w:type="pct"/>
            <w:tcBorders>
              <w:top w:val="single" w:color="auto"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auto"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pPr>
            <w:r>
              <w:rPr>
                <w:rFonts w:hint="eastAsia" w:ascii="宋体" w:hAnsi="宋体" w:eastAsia="宋体" w:cs="宋体"/>
                <w:kern w:val="0"/>
                <w:sz w:val="20"/>
                <w:szCs w:val="20"/>
              </w:rPr>
              <w:t>十三、交通运输支出</w:t>
            </w:r>
          </w:p>
        </w:tc>
        <w:tc>
          <w:tcPr>
            <w:tcW w:w="150" w:type="pct"/>
            <w:tcBorders>
              <w:top w:val="single" w:color="auto"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45</w:t>
            </w:r>
          </w:p>
        </w:tc>
        <w:tc>
          <w:tcPr>
            <w:tcW w:w="329" w:type="pct"/>
            <w:tcBorders>
              <w:top w:val="single" w:color="auto"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auto"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十四、资源勘探工业信息等支出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十五、商业服务业等支出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47</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十六、金融支出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十七、援助其他地区支出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49</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十八、自然资源海洋气象等支出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50</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十九、住房保障支出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51</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38.63</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38.63</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二十、粮油物资储备支出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二十一、国有资本经营预算支出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53</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二十二、灾害防治及应急管理支出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54</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二十三、其他支出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55</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二十四、债务还本支出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center"/>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二十五、债务付息支出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57</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center"/>
              <w:rPr>
                <w:rFonts w:ascii="宋体" w:hAnsi="宋体" w:cs="宋体"/>
                <w:b/>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二十六、抗疫特别国债安排的支出</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58</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b/>
                <w:sz w:val="20"/>
                <w:szCs w:val="20"/>
              </w:rPr>
            </w:pPr>
            <w:r>
              <w:rPr>
                <w:rFonts w:hint="eastAsia" w:ascii="宋体" w:hAnsi="宋体" w:eastAsia="宋体" w:cs="宋体"/>
                <w:b/>
                <w:bCs/>
                <w:kern w:val="0"/>
                <w:sz w:val="20"/>
                <w:szCs w:val="20"/>
              </w:rPr>
              <w:t>本年收入合计</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27</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1,119.19</w:t>
            </w: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b/>
                <w:bCs/>
                <w:kern w:val="0"/>
                <w:sz w:val="20"/>
                <w:szCs w:val="20"/>
              </w:rPr>
              <w:t>本年支出合计</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85</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1,298.28</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1,298.28</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b/>
                <w:sz w:val="20"/>
                <w:szCs w:val="20"/>
              </w:rPr>
            </w:pPr>
            <w:r>
              <w:rPr>
                <w:rFonts w:hint="eastAsia" w:ascii="宋体" w:hAnsi="宋体" w:eastAsia="宋体" w:cs="宋体"/>
                <w:kern w:val="0"/>
                <w:sz w:val="20"/>
                <w:szCs w:val="20"/>
              </w:rPr>
              <w:t>年初财政拨款结转和结余</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221.34</w:t>
            </w: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年末财政拨款结转和结余</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86</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42.25</w:t>
            </w: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42.25</w:t>
            </w: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b/>
                <w:sz w:val="20"/>
                <w:szCs w:val="20"/>
              </w:rPr>
            </w:pPr>
            <w:r>
              <w:rPr>
                <w:rFonts w:hint="eastAsia" w:ascii="宋体" w:hAnsi="宋体" w:eastAsia="宋体" w:cs="宋体"/>
                <w:kern w:val="0"/>
                <w:sz w:val="20"/>
                <w:szCs w:val="20"/>
              </w:rPr>
              <w:t>一、一般公共预算财政拨款</w:t>
            </w: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29</w:t>
            </w:r>
          </w:p>
        </w:tc>
        <w:tc>
          <w:tcPr>
            <w:tcW w:w="332"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221.34</w:t>
            </w:r>
          </w:p>
        </w:tc>
        <w:tc>
          <w:tcPr>
            <w:tcW w:w="955"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left"/>
              <w:rPr>
                <w:rFonts w:ascii="宋体" w:hAnsi="宋体" w:eastAsia="宋体" w:cs="宋体"/>
                <w:kern w:val="0"/>
                <w:sz w:val="20"/>
                <w:szCs w:val="20"/>
              </w:rPr>
            </w:pPr>
          </w:p>
        </w:tc>
        <w:tc>
          <w:tcPr>
            <w:tcW w:w="150"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87</w:t>
            </w:r>
          </w:p>
        </w:tc>
        <w:tc>
          <w:tcPr>
            <w:tcW w:w="329" w:type="pct"/>
            <w:tcBorders>
              <w:top w:val="single" w:color="000000" w:sz="4" w:space="0"/>
              <w:left w:val="single" w:color="000000" w:sz="8" w:space="0"/>
              <w:bottom w:val="single" w:color="000000" w:sz="8" w:space="0"/>
              <w:right w:val="nil"/>
            </w:tcBorders>
            <w:shd w:val="clear" w:color="auto" w:fill="FFFFFF"/>
            <w:tcMar>
              <w:top w:w="15" w:type="dxa"/>
              <w:left w:w="15" w:type="dxa"/>
              <w:right w:w="15" w:type="dxa"/>
            </w:tcMar>
            <w:vAlign w:val="center"/>
          </w:tcPr>
          <w:p>
            <w:pPr>
              <w:jc w:val="right"/>
            </w:pPr>
          </w:p>
        </w:tc>
        <w:tc>
          <w:tcPr>
            <w:tcW w:w="6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right"/>
              <w:rPr>
                <w:rFonts w:ascii="宋体" w:hAnsi="宋体" w:cs="宋体"/>
                <w:sz w:val="20"/>
                <w:szCs w:val="20"/>
              </w:rPr>
            </w:pPr>
          </w:p>
        </w:tc>
        <w:tc>
          <w:tcPr>
            <w:tcW w:w="713" w:type="pct"/>
            <w:tcBorders>
              <w:top w:val="single" w:color="000000" w:sz="4" w:space="0"/>
              <w:left w:val="single" w:color="000000" w:sz="4" w:space="0"/>
              <w:bottom w:val="single" w:color="000000" w:sz="8" w:space="0"/>
              <w:right w:val="single" w:color="auto" w:sz="4" w:space="0"/>
            </w:tcBorders>
            <w:shd w:val="clear" w:color="auto" w:fill="auto"/>
            <w:tcMar>
              <w:top w:w="15" w:type="dxa"/>
              <w:left w:w="15" w:type="dxa"/>
              <w:right w:w="15" w:type="dxa"/>
            </w:tcMar>
            <w:vAlign w:val="center"/>
          </w:tcPr>
          <w:p>
            <w:pPr>
              <w:jc w:val="right"/>
              <w:rPr>
                <w:rFonts w:ascii="宋体" w:hAnsi="宋体" w:cs="宋体"/>
                <w:sz w:val="20"/>
                <w:szCs w:val="20"/>
              </w:rPr>
            </w:pP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left"/>
              <w:rPr>
                <w:rFonts w:ascii="宋体" w:hAnsi="宋体" w:cs="宋体"/>
                <w:b/>
                <w:sz w:val="20"/>
                <w:szCs w:val="20"/>
              </w:rPr>
            </w:pP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left"/>
              <w:textAlignment w:val="center"/>
              <w:rPr>
                <w:rFonts w:ascii="宋体" w:hAnsi="宋体" w:cs="宋体"/>
                <w:b/>
                <w:sz w:val="20"/>
                <w:szCs w:val="20"/>
              </w:rPr>
            </w:pPr>
            <w:r>
              <w:rPr>
                <w:rFonts w:hint="eastAsia" w:ascii="宋体" w:hAnsi="宋体" w:eastAsia="宋体" w:cs="宋体"/>
                <w:kern w:val="0"/>
                <w:sz w:val="20"/>
                <w:szCs w:val="20"/>
              </w:rPr>
              <w:t>二、政府性基金预算财政拨款</w:t>
            </w:r>
          </w:p>
        </w:tc>
        <w:tc>
          <w:tcPr>
            <w:tcW w:w="150"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332"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955"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jc w:val="left"/>
              <w:rPr>
                <w:rFonts w:ascii="宋体" w:hAnsi="宋体" w:eastAsia="宋体" w:cs="宋体"/>
                <w:kern w:val="0"/>
                <w:sz w:val="20"/>
                <w:szCs w:val="20"/>
              </w:rPr>
            </w:pPr>
          </w:p>
        </w:tc>
        <w:tc>
          <w:tcPr>
            <w:tcW w:w="150"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88</w:t>
            </w:r>
          </w:p>
        </w:tc>
        <w:tc>
          <w:tcPr>
            <w:tcW w:w="329"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jc w:val="right"/>
            </w:pPr>
          </w:p>
        </w:tc>
        <w:tc>
          <w:tcPr>
            <w:tcW w:w="693"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jc w:val="right"/>
              <w:rPr>
                <w:rFonts w:ascii="宋体" w:hAnsi="宋体" w:cs="宋体"/>
                <w:sz w:val="20"/>
                <w:szCs w:val="20"/>
              </w:rPr>
            </w:pPr>
          </w:p>
        </w:tc>
        <w:tc>
          <w:tcPr>
            <w:tcW w:w="713" w:type="pct"/>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right"/>
              <w:rPr>
                <w:rFonts w:ascii="宋体" w:hAnsi="宋体" w:cs="宋体"/>
                <w:sz w:val="20"/>
                <w:szCs w:val="20"/>
              </w:rPr>
            </w:pP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left"/>
              <w:rPr>
                <w:rFonts w:ascii="宋体" w:hAnsi="宋体" w:cs="宋体"/>
                <w:b/>
                <w:sz w:val="20"/>
                <w:szCs w:val="20"/>
              </w:rPr>
            </w:pP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三、国有资本经营预算财政拨款</w:t>
            </w:r>
          </w:p>
        </w:tc>
        <w:tc>
          <w:tcPr>
            <w:tcW w:w="150"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332"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955"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jc w:val="left"/>
              <w:rPr>
                <w:rFonts w:ascii="宋体" w:hAnsi="宋体" w:eastAsia="宋体" w:cs="宋体"/>
                <w:kern w:val="0"/>
                <w:sz w:val="20"/>
                <w:szCs w:val="20"/>
              </w:rPr>
            </w:pPr>
          </w:p>
        </w:tc>
        <w:tc>
          <w:tcPr>
            <w:tcW w:w="150"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89</w:t>
            </w:r>
          </w:p>
        </w:tc>
        <w:tc>
          <w:tcPr>
            <w:tcW w:w="329"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jc w:val="right"/>
            </w:pPr>
          </w:p>
        </w:tc>
        <w:tc>
          <w:tcPr>
            <w:tcW w:w="693"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jc w:val="right"/>
              <w:rPr>
                <w:rFonts w:ascii="宋体" w:hAnsi="宋体" w:cs="宋体"/>
                <w:sz w:val="20"/>
                <w:szCs w:val="20"/>
              </w:rPr>
            </w:pPr>
          </w:p>
        </w:tc>
        <w:tc>
          <w:tcPr>
            <w:tcW w:w="713" w:type="pct"/>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right"/>
              <w:rPr>
                <w:rFonts w:ascii="宋体" w:hAnsi="宋体" w:cs="宋体"/>
                <w:sz w:val="20"/>
                <w:szCs w:val="20"/>
              </w:rPr>
            </w:pP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left"/>
              <w:rPr>
                <w:rFonts w:ascii="宋体" w:hAnsi="宋体" w:cs="宋体"/>
                <w:b/>
                <w:sz w:val="20"/>
                <w:szCs w:val="20"/>
              </w:rPr>
            </w:pPr>
          </w:p>
        </w:tc>
      </w:tr>
      <w:tr>
        <w:tblPrEx>
          <w:tblCellMar>
            <w:top w:w="0" w:type="dxa"/>
            <w:left w:w="0" w:type="dxa"/>
            <w:bottom w:w="0" w:type="dxa"/>
            <w:right w:w="0" w:type="dxa"/>
          </w:tblCellMar>
        </w:tblPrEx>
        <w:trPr>
          <w:trHeight w:val="385" w:hRule="atLeast"/>
        </w:trPr>
        <w:tc>
          <w:tcPr>
            <w:tcW w:w="895"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b/>
                <w:bCs/>
                <w:kern w:val="0"/>
                <w:sz w:val="20"/>
                <w:szCs w:val="20"/>
              </w:rPr>
              <w:t>总计</w:t>
            </w:r>
          </w:p>
        </w:tc>
        <w:tc>
          <w:tcPr>
            <w:tcW w:w="150"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332"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1,340.53</w:t>
            </w:r>
          </w:p>
        </w:tc>
        <w:tc>
          <w:tcPr>
            <w:tcW w:w="955"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b/>
                <w:bCs/>
                <w:kern w:val="0"/>
                <w:sz w:val="20"/>
                <w:szCs w:val="20"/>
              </w:rPr>
              <w:t>总计</w:t>
            </w:r>
          </w:p>
        </w:tc>
        <w:tc>
          <w:tcPr>
            <w:tcW w:w="150"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90</w:t>
            </w:r>
          </w:p>
        </w:tc>
        <w:tc>
          <w:tcPr>
            <w:tcW w:w="329" w:type="pct"/>
            <w:tcBorders>
              <w:top w:val="single" w:color="000000" w:sz="4" w:space="0"/>
              <w:left w:val="single" w:color="000000" w:sz="8" w:space="0"/>
              <w:bottom w:val="single" w:color="auto" w:sz="4" w:space="0"/>
              <w:right w:val="nil"/>
            </w:tcBorders>
            <w:shd w:val="clear" w:color="auto" w:fill="FFFFFF"/>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1,340.53</w:t>
            </w:r>
          </w:p>
        </w:tc>
        <w:tc>
          <w:tcPr>
            <w:tcW w:w="693"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1,340.53</w:t>
            </w:r>
          </w:p>
        </w:tc>
        <w:tc>
          <w:tcPr>
            <w:tcW w:w="713" w:type="pct"/>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77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right"/>
              <w:textAlignment w:val="center"/>
              <w:rPr>
                <w:rFonts w:ascii="宋体" w:hAnsi="宋体" w:cs="宋体"/>
                <w:b/>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558" w:hRule="atLeast"/>
        </w:trPr>
        <w:tc>
          <w:tcPr>
            <w:tcW w:w="5000" w:type="pct"/>
            <w:gridSpan w:val="9"/>
            <w:tcBorders>
              <w:top w:val="single" w:color="auto" w:sz="4" w:space="0"/>
              <w:left w:val="nil"/>
              <w:bottom w:val="nil"/>
              <w:right w:val="nil"/>
            </w:tcBorders>
            <w:tcMar>
              <w:top w:w="15" w:type="dxa"/>
              <w:left w:w="15" w:type="dxa"/>
              <w:right w:w="15" w:type="dxa"/>
            </w:tcMar>
            <w:vAlign w:val="center"/>
          </w:tcPr>
          <w:p>
            <w:pPr>
              <w:jc w:val="left"/>
            </w:pPr>
            <w:r>
              <w:rPr>
                <w:rFonts w:hint="eastAsia"/>
              </w:rPr>
              <w:t>注：本表反映部门本年度一般公共预算财政拨款、政府性基金预算财政拨款和国有资本经营预算财政拨款的总收支和年末结转结余情况。本表金额转换为万元时，因四舍五入可能存在尾差。</w:t>
            </w:r>
          </w:p>
        </w:tc>
      </w:tr>
    </w:tbl>
    <w:p>
      <w:pPr>
        <w:rPr>
          <w:rFonts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tbl>
      <w:tblPr>
        <w:tblStyle w:val="5"/>
        <w:tblW w:w="5000" w:type="pct"/>
        <w:tblInd w:w="0" w:type="dxa"/>
        <w:tblLayout w:type="autofit"/>
        <w:tblCellMar>
          <w:top w:w="0" w:type="dxa"/>
          <w:left w:w="0" w:type="dxa"/>
          <w:bottom w:w="0" w:type="dxa"/>
          <w:right w:w="0" w:type="dxa"/>
        </w:tblCellMar>
      </w:tblPr>
      <w:tblGrid>
        <w:gridCol w:w="1703"/>
        <w:gridCol w:w="624"/>
        <w:gridCol w:w="621"/>
        <w:gridCol w:w="4985"/>
        <w:gridCol w:w="1209"/>
        <w:gridCol w:w="464"/>
        <w:gridCol w:w="450"/>
        <w:gridCol w:w="1206"/>
        <w:gridCol w:w="613"/>
        <w:gridCol w:w="599"/>
        <w:gridCol w:w="1514"/>
      </w:tblGrid>
      <w:tr>
        <w:tblPrEx>
          <w:tblCellMar>
            <w:top w:w="0" w:type="dxa"/>
            <w:left w:w="0" w:type="dxa"/>
            <w:bottom w:w="0" w:type="dxa"/>
            <w:right w:w="0" w:type="dxa"/>
          </w:tblCellMar>
        </w:tblPrEx>
        <w:trPr>
          <w:trHeight w:val="600" w:hRule="atLeast"/>
        </w:trPr>
        <w:tc>
          <w:tcPr>
            <w:tcW w:w="5000" w:type="pct"/>
            <w:gridSpan w:val="11"/>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华文中宋" w:hAnsi="华文中宋" w:eastAsia="华文中宋" w:cs="华文中宋"/>
                <w:sz w:val="32"/>
                <w:szCs w:val="32"/>
              </w:rPr>
            </w:pPr>
            <w:r>
              <w:rPr>
                <w:rFonts w:hint="eastAsia" w:ascii="黑体" w:hAnsi="黑体" w:eastAsia="黑体" w:cs="黑体"/>
                <w:kern w:val="0"/>
                <w:sz w:val="36"/>
                <w:szCs w:val="36"/>
              </w:rPr>
              <w:t>一般公共预算财政拨款支出决算表</w:t>
            </w:r>
          </w:p>
        </w:tc>
      </w:tr>
      <w:tr>
        <w:tblPrEx>
          <w:tblCellMar>
            <w:top w:w="0" w:type="dxa"/>
            <w:left w:w="0" w:type="dxa"/>
            <w:bottom w:w="0" w:type="dxa"/>
            <w:right w:w="0" w:type="dxa"/>
          </w:tblCellMar>
        </w:tblPrEx>
        <w:trPr>
          <w:trHeight w:val="222" w:hRule="atLeast"/>
        </w:trPr>
        <w:tc>
          <w:tcPr>
            <w:tcW w:w="609" w:type="pct"/>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223" w:type="pct"/>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2003" w:type="pct"/>
            <w:gridSpan w:val="2"/>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598" w:type="pct"/>
            <w:gridSpan w:val="2"/>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811" w:type="pct"/>
            <w:gridSpan w:val="3"/>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754" w:type="pct"/>
            <w:gridSpan w:val="2"/>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公开0</w:t>
            </w:r>
            <w:r>
              <w:rPr>
                <w:rStyle w:val="8"/>
                <w:rFonts w:hint="default"/>
                <w:color w:val="auto"/>
              </w:rPr>
              <w:t>5表</w:t>
            </w:r>
          </w:p>
        </w:tc>
      </w:tr>
      <w:tr>
        <w:tblPrEx>
          <w:tblCellMar>
            <w:top w:w="0" w:type="dxa"/>
            <w:left w:w="0" w:type="dxa"/>
            <w:bottom w:w="0" w:type="dxa"/>
            <w:right w:w="0" w:type="dxa"/>
          </w:tblCellMar>
        </w:tblPrEx>
        <w:trPr>
          <w:trHeight w:val="300" w:hRule="atLeast"/>
        </w:trPr>
        <w:tc>
          <w:tcPr>
            <w:tcW w:w="2836" w:type="pct"/>
            <w:gridSpan w:val="4"/>
            <w:tcBorders>
              <w:top w:val="nil"/>
              <w:left w:val="nil"/>
              <w:bottom w:val="nil"/>
              <w:right w:val="nil"/>
            </w:tcBorders>
            <w:shd w:val="clear" w:color="auto" w:fill="FFFFFF"/>
            <w:tcMar>
              <w:top w:w="15" w:type="dxa"/>
              <w:left w:w="15" w:type="dxa"/>
              <w:right w:w="15" w:type="dxa"/>
            </w:tcMar>
            <w:vAlign w:val="center"/>
          </w:tcPr>
          <w:p>
            <w:pPr>
              <w:jc w:val="left"/>
              <w:rPr>
                <w:rFonts w:ascii="宋体" w:hAnsi="宋体" w:cs="宋体"/>
                <w:sz w:val="20"/>
                <w:szCs w:val="20"/>
              </w:rPr>
            </w:pPr>
            <w:r>
              <w:rPr>
                <w:rFonts w:hint="eastAsia" w:ascii="宋体" w:hAnsi="宋体" w:cs="宋体"/>
                <w:kern w:val="0"/>
                <w:sz w:val="20"/>
                <w:szCs w:val="20"/>
              </w:rPr>
              <w:t>部门：焦作市马村区人民检察院</w:t>
            </w:r>
          </w:p>
        </w:tc>
        <w:tc>
          <w:tcPr>
            <w:tcW w:w="598" w:type="pct"/>
            <w:gridSpan w:val="2"/>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811" w:type="pct"/>
            <w:gridSpan w:val="3"/>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754" w:type="pct"/>
            <w:gridSpan w:val="2"/>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单位：万元</w:t>
            </w:r>
          </w:p>
        </w:tc>
      </w:tr>
      <w:tr>
        <w:tblPrEx>
          <w:tblCellMar>
            <w:top w:w="0" w:type="dxa"/>
            <w:left w:w="0" w:type="dxa"/>
            <w:bottom w:w="0" w:type="dxa"/>
            <w:right w:w="0" w:type="dxa"/>
          </w:tblCellMar>
        </w:tblPrEx>
        <w:trPr>
          <w:trHeight w:val="405" w:hRule="atLeast"/>
        </w:trPr>
        <w:tc>
          <w:tcPr>
            <w:tcW w:w="2836" w:type="pct"/>
            <w:gridSpan w:val="4"/>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项    目</w:t>
            </w:r>
          </w:p>
        </w:tc>
        <w:tc>
          <w:tcPr>
            <w:tcW w:w="2163" w:type="pct"/>
            <w:gridSpan w:val="7"/>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本年支出</w:t>
            </w:r>
          </w:p>
        </w:tc>
      </w:tr>
      <w:tr>
        <w:tblPrEx>
          <w:tblCellMar>
            <w:top w:w="0" w:type="dxa"/>
            <w:left w:w="0" w:type="dxa"/>
            <w:bottom w:w="0" w:type="dxa"/>
            <w:right w:w="0" w:type="dxa"/>
          </w:tblCellMar>
        </w:tblPrEx>
        <w:trPr>
          <w:trHeight w:val="495" w:hRule="atLeast"/>
        </w:trPr>
        <w:tc>
          <w:tcPr>
            <w:tcW w:w="1054" w:type="pct"/>
            <w:gridSpan w:val="3"/>
            <w:vMerge w:val="restar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支出功能分类科目编码</w:t>
            </w:r>
          </w:p>
        </w:tc>
        <w:tc>
          <w:tcPr>
            <w:tcW w:w="178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科目名称</w:t>
            </w:r>
          </w:p>
        </w:tc>
        <w:tc>
          <w:tcPr>
            <w:tcW w:w="432"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合计</w:t>
            </w:r>
          </w:p>
        </w:tc>
        <w:tc>
          <w:tcPr>
            <w:tcW w:w="1191" w:type="pct"/>
            <w:gridSpan w:val="5"/>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基本支出</w:t>
            </w:r>
          </w:p>
        </w:tc>
        <w:tc>
          <w:tcPr>
            <w:tcW w:w="540" w:type="pct"/>
            <w:vMerge w:val="restart"/>
            <w:tcBorders>
              <w:top w:val="nil"/>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项目支出</w:t>
            </w:r>
          </w:p>
        </w:tc>
      </w:tr>
      <w:tr>
        <w:tblPrEx>
          <w:tblCellMar>
            <w:top w:w="0" w:type="dxa"/>
            <w:left w:w="0" w:type="dxa"/>
            <w:bottom w:w="0" w:type="dxa"/>
            <w:right w:w="0" w:type="dxa"/>
          </w:tblCellMar>
        </w:tblPrEx>
        <w:trPr>
          <w:trHeight w:val="360" w:hRule="atLeast"/>
        </w:trPr>
        <w:tc>
          <w:tcPr>
            <w:tcW w:w="1054" w:type="pct"/>
            <w:gridSpan w:val="3"/>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78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432"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191" w:type="pct"/>
            <w:gridSpan w:val="5"/>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540" w:type="pct"/>
            <w:vMerge w:val="continue"/>
            <w:tcBorders>
              <w:top w:val="nil"/>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054" w:type="pct"/>
            <w:gridSpan w:val="3"/>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78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432"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191" w:type="pct"/>
            <w:gridSpan w:val="5"/>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540" w:type="pct"/>
            <w:vMerge w:val="continue"/>
            <w:tcBorders>
              <w:top w:val="nil"/>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054" w:type="pct"/>
            <w:gridSpan w:val="3"/>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781" w:type="pct"/>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pPr>
          </w:p>
        </w:tc>
        <w:tc>
          <w:tcPr>
            <w:tcW w:w="43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327"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小计</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人员经费</w:t>
            </w:r>
          </w:p>
        </w:tc>
        <w:tc>
          <w:tcPr>
            <w:tcW w:w="432" w:type="pct"/>
            <w:gridSpan w:val="2"/>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公用经费</w:t>
            </w:r>
          </w:p>
        </w:tc>
        <w:tc>
          <w:tcPr>
            <w:tcW w:w="540" w:type="pct"/>
            <w:vMerge w:val="continue"/>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jc w:val="center"/>
            </w:pPr>
          </w:p>
        </w:tc>
      </w:tr>
      <w:tr>
        <w:tblPrEx>
          <w:tblCellMar>
            <w:top w:w="0" w:type="dxa"/>
            <w:left w:w="0" w:type="dxa"/>
            <w:bottom w:w="0" w:type="dxa"/>
            <w:right w:w="0" w:type="dxa"/>
          </w:tblCellMar>
        </w:tblPrEx>
        <w:trPr>
          <w:trHeight w:val="450" w:hRule="atLeast"/>
        </w:trPr>
        <w:tc>
          <w:tcPr>
            <w:tcW w:w="609" w:type="pct"/>
            <w:vMerge w:val="restar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类</w:t>
            </w:r>
          </w:p>
        </w:tc>
        <w:tc>
          <w:tcPr>
            <w:tcW w:w="223" w:type="pct"/>
            <w:vMerge w:val="restar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款</w:t>
            </w:r>
          </w:p>
        </w:tc>
        <w:tc>
          <w:tcPr>
            <w:tcW w:w="221" w:type="pct"/>
            <w:vMerge w:val="restar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项</w:t>
            </w:r>
          </w:p>
        </w:tc>
        <w:tc>
          <w:tcPr>
            <w:tcW w:w="1781" w:type="pc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textAlignment w:val="center"/>
            </w:pPr>
            <w:r>
              <w:rPr>
                <w:rFonts w:hint="eastAsia" w:ascii="宋体" w:hAnsi="宋体" w:eastAsia="宋体" w:cs="宋体"/>
                <w:kern w:val="0"/>
                <w:sz w:val="20"/>
                <w:szCs w:val="20"/>
              </w:rPr>
              <w:t>栏次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7</w:t>
            </w:r>
          </w:p>
        </w:tc>
        <w:tc>
          <w:tcPr>
            <w:tcW w:w="327"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8</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9</w:t>
            </w:r>
          </w:p>
        </w:tc>
        <w:tc>
          <w:tcPr>
            <w:tcW w:w="432" w:type="pct"/>
            <w:gridSpan w:val="2"/>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eastAsia="宋体" w:cs="宋体"/>
                <w:kern w:val="0"/>
                <w:sz w:val="20"/>
                <w:szCs w:val="20"/>
              </w:rPr>
              <w:t>10</w:t>
            </w:r>
          </w:p>
        </w:tc>
        <w:tc>
          <w:tcPr>
            <w:tcW w:w="540"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11</w:t>
            </w:r>
          </w:p>
        </w:tc>
      </w:tr>
      <w:tr>
        <w:tblPrEx>
          <w:tblCellMar>
            <w:top w:w="0" w:type="dxa"/>
            <w:left w:w="0" w:type="dxa"/>
            <w:bottom w:w="0" w:type="dxa"/>
            <w:right w:w="0" w:type="dxa"/>
          </w:tblCellMar>
        </w:tblPrEx>
        <w:trPr>
          <w:trHeight w:val="450" w:hRule="atLeast"/>
        </w:trPr>
        <w:tc>
          <w:tcPr>
            <w:tcW w:w="609" w:type="pct"/>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22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22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pPr>
          </w:p>
        </w:tc>
        <w:tc>
          <w:tcPr>
            <w:tcW w:w="17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pPr>
            <w:r>
              <w:rPr>
                <w:rFonts w:hint="eastAsia" w:ascii="宋体" w:hAnsi="宋体" w:eastAsia="宋体" w:cs="宋体"/>
                <w:kern w:val="0"/>
                <w:sz w:val="20"/>
                <w:szCs w:val="20"/>
              </w:rPr>
              <w:t>合计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1,298.28</w:t>
            </w:r>
          </w:p>
        </w:tc>
        <w:tc>
          <w:tcPr>
            <w:tcW w:w="327"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846.59</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708.77</w:t>
            </w:r>
          </w:p>
        </w:tc>
        <w:tc>
          <w:tcPr>
            <w:tcW w:w="432" w:type="pct"/>
            <w:gridSpan w:val="2"/>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137.81</w:t>
            </w:r>
          </w:p>
        </w:tc>
        <w:tc>
          <w:tcPr>
            <w:tcW w:w="540"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451.70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204</w:t>
            </w:r>
          </w:p>
        </w:tc>
        <w:tc>
          <w:tcPr>
            <w:tcW w:w="17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公共安全支出</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b/>
                <w:bCs/>
                <w:kern w:val="0"/>
                <w:sz w:val="20"/>
                <w:szCs w:val="20"/>
              </w:rPr>
              <w:t>1,167.59</w:t>
            </w:r>
          </w:p>
        </w:tc>
        <w:tc>
          <w:tcPr>
            <w:tcW w:w="327"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b/>
                <w:bCs/>
                <w:kern w:val="0"/>
                <w:sz w:val="20"/>
                <w:szCs w:val="20"/>
              </w:rPr>
              <w:t>715.89</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pPr>
            <w:r>
              <w:rPr>
                <w:rFonts w:hint="eastAsia" w:ascii="宋体" w:hAnsi="宋体" w:eastAsia="宋体" w:cs="宋体"/>
                <w:b/>
                <w:bCs/>
                <w:kern w:val="0"/>
                <w:sz w:val="20"/>
                <w:szCs w:val="20"/>
              </w:rPr>
              <w:t>578.08</w:t>
            </w:r>
          </w:p>
        </w:tc>
        <w:tc>
          <w:tcPr>
            <w:tcW w:w="432" w:type="pct"/>
            <w:gridSpan w:val="2"/>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b/>
                <w:bCs/>
                <w:kern w:val="0"/>
                <w:sz w:val="20"/>
                <w:szCs w:val="20"/>
              </w:rPr>
              <w:t>137.81</w:t>
            </w:r>
          </w:p>
        </w:tc>
        <w:tc>
          <w:tcPr>
            <w:tcW w:w="540"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pPr>
            <w:r>
              <w:rPr>
                <w:rFonts w:hint="eastAsia" w:ascii="宋体" w:hAnsi="宋体" w:eastAsia="宋体" w:cs="宋体"/>
                <w:b/>
                <w:bCs/>
                <w:kern w:val="0"/>
                <w:sz w:val="20"/>
                <w:szCs w:val="20"/>
              </w:rPr>
              <w:t>451.70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20404</w:t>
            </w:r>
          </w:p>
        </w:tc>
        <w:tc>
          <w:tcPr>
            <w:tcW w:w="17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b/>
                <w:bCs/>
                <w:kern w:val="0"/>
                <w:sz w:val="20"/>
                <w:szCs w:val="20"/>
              </w:rPr>
              <w:t>检察</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b/>
                <w:bCs/>
                <w:kern w:val="0"/>
                <w:sz w:val="20"/>
                <w:szCs w:val="20"/>
              </w:rPr>
              <w:t>1,167.59</w:t>
            </w:r>
          </w:p>
        </w:tc>
        <w:tc>
          <w:tcPr>
            <w:tcW w:w="327"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b/>
                <w:bCs/>
                <w:kern w:val="0"/>
                <w:sz w:val="20"/>
                <w:szCs w:val="20"/>
              </w:rPr>
              <w:t>715.89</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pPr>
            <w:r>
              <w:rPr>
                <w:rFonts w:hint="eastAsia" w:ascii="宋体" w:hAnsi="宋体" w:eastAsia="宋体" w:cs="宋体"/>
                <w:b/>
                <w:bCs/>
                <w:kern w:val="0"/>
                <w:sz w:val="20"/>
                <w:szCs w:val="20"/>
              </w:rPr>
              <w:t>578.08</w:t>
            </w:r>
          </w:p>
        </w:tc>
        <w:tc>
          <w:tcPr>
            <w:tcW w:w="432" w:type="pct"/>
            <w:gridSpan w:val="2"/>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b/>
                <w:bCs/>
                <w:kern w:val="0"/>
                <w:sz w:val="20"/>
                <w:szCs w:val="20"/>
              </w:rPr>
              <w:t>137.81</w:t>
            </w:r>
          </w:p>
        </w:tc>
        <w:tc>
          <w:tcPr>
            <w:tcW w:w="540"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pPr>
            <w:r>
              <w:rPr>
                <w:rFonts w:hint="eastAsia" w:ascii="宋体" w:hAnsi="宋体" w:eastAsia="宋体" w:cs="宋体"/>
                <w:b/>
                <w:bCs/>
                <w:kern w:val="0"/>
                <w:sz w:val="20"/>
                <w:szCs w:val="20"/>
              </w:rPr>
              <w:t>451.70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2040401</w:t>
            </w:r>
          </w:p>
        </w:tc>
        <w:tc>
          <w:tcPr>
            <w:tcW w:w="17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行政运行</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715.89</w:t>
            </w:r>
          </w:p>
        </w:tc>
        <w:tc>
          <w:tcPr>
            <w:tcW w:w="327"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715.89</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578.08</w:t>
            </w:r>
          </w:p>
        </w:tc>
        <w:tc>
          <w:tcPr>
            <w:tcW w:w="432" w:type="pct"/>
            <w:gridSpan w:val="2"/>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137.81</w:t>
            </w:r>
          </w:p>
        </w:tc>
        <w:tc>
          <w:tcPr>
            <w:tcW w:w="540"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2040402</w:t>
            </w:r>
          </w:p>
        </w:tc>
        <w:tc>
          <w:tcPr>
            <w:tcW w:w="178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一般行政管理事务</w:t>
            </w:r>
          </w:p>
        </w:tc>
        <w:tc>
          <w:tcPr>
            <w:tcW w:w="43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25.47</w:t>
            </w:r>
          </w:p>
        </w:tc>
        <w:tc>
          <w:tcPr>
            <w:tcW w:w="327"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4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432" w:type="pct"/>
            <w:gridSpan w:val="2"/>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540" w:type="pc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25.47</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2040499</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eastAsia="宋体" w:cs="宋体"/>
                <w:kern w:val="0"/>
                <w:sz w:val="20"/>
                <w:szCs w:val="20"/>
              </w:rPr>
              <w:t xml:space="preserve">  其他检察支出</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426.22</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0.00</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eastAsia="宋体" w:cs="宋体"/>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pPr>
            <w:r>
              <w:rPr>
                <w:rFonts w:hint="eastAsia" w:ascii="宋体" w:hAnsi="宋体" w:eastAsia="宋体" w:cs="宋体"/>
                <w:kern w:val="0"/>
                <w:sz w:val="20"/>
                <w:szCs w:val="20"/>
              </w:rPr>
              <w:t>426.22</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208</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16"/>
                <w:szCs w:val="16"/>
              </w:rPr>
              <w:t>社会保障和就业支出</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20805</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16"/>
                <w:szCs w:val="16"/>
              </w:rPr>
              <w:t>行政事业单位养老支出</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65.90</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2080501</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 xml:space="preserve">  行政单位离退休</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18.66</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18.66</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18.66</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2080505</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 xml:space="preserve">  机关事业单位基本养老保险缴费支出</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47.24</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47.24</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47.24</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210</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卫生健康支出</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21011</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行政事业单位医疗</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26.16</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2101101</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 xml:space="preserve">  行政单位医疗</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26.16</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26.16</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26.16</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221</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住房保障支出</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22102</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b/>
                <w:bCs/>
                <w:kern w:val="0"/>
                <w:sz w:val="20"/>
                <w:szCs w:val="20"/>
              </w:rPr>
              <w:t>住房改革支出</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38.63</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b/>
                <w:bCs/>
                <w:kern w:val="0"/>
                <w:sz w:val="20"/>
                <w:szCs w:val="20"/>
              </w:rPr>
              <w:t>0.00</w:t>
            </w:r>
          </w:p>
        </w:tc>
      </w:tr>
      <w:tr>
        <w:tblPrEx>
          <w:tblCellMar>
            <w:top w:w="0" w:type="dxa"/>
            <w:left w:w="0" w:type="dxa"/>
            <w:bottom w:w="0" w:type="dxa"/>
            <w:right w:w="0" w:type="dxa"/>
          </w:tblCellMar>
        </w:tblPrEx>
        <w:trPr>
          <w:trHeight w:val="450" w:hRule="atLeast"/>
        </w:trPr>
        <w:tc>
          <w:tcPr>
            <w:tcW w:w="1054" w:type="pct"/>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2210201</w:t>
            </w:r>
          </w:p>
        </w:tc>
        <w:tc>
          <w:tcPr>
            <w:tcW w:w="178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 xml:space="preserve">  住房公积金</w:t>
            </w:r>
          </w:p>
        </w:tc>
        <w:tc>
          <w:tcPr>
            <w:tcW w:w="432"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38.63</w:t>
            </w:r>
          </w:p>
        </w:tc>
        <w:tc>
          <w:tcPr>
            <w:tcW w:w="327" w:type="pct"/>
            <w:gridSpan w:val="2"/>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38.63</w:t>
            </w:r>
          </w:p>
        </w:tc>
        <w:tc>
          <w:tcPr>
            <w:tcW w:w="431" w:type="pct"/>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38.63</w:t>
            </w:r>
          </w:p>
        </w:tc>
        <w:tc>
          <w:tcPr>
            <w:tcW w:w="432" w:type="pct"/>
            <w:gridSpan w:val="2"/>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c>
          <w:tcPr>
            <w:tcW w:w="540" w:type="pct"/>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widowControl/>
              <w:jc w:val="right"/>
              <w:textAlignment w:val="center"/>
              <w:rPr>
                <w:rFonts w:ascii="宋体" w:hAnsi="宋体" w:eastAsia="宋体" w:cs="宋体"/>
                <w:kern w:val="0"/>
                <w:sz w:val="20"/>
                <w:szCs w:val="20"/>
              </w:rPr>
            </w:pPr>
            <w:r>
              <w:rPr>
                <w:rFonts w:hint="eastAsia" w:ascii="宋体" w:hAnsi="宋体" w:eastAsia="宋体" w:cs="宋体"/>
                <w:kern w:val="0"/>
                <w:sz w:val="20"/>
                <w:szCs w:val="20"/>
              </w:rPr>
              <w:t>0.00</w:t>
            </w:r>
          </w:p>
        </w:tc>
      </w:tr>
      <w:tr>
        <w:tblPrEx>
          <w:tblCellMar>
            <w:top w:w="0" w:type="dxa"/>
            <w:left w:w="0" w:type="dxa"/>
            <w:bottom w:w="0" w:type="dxa"/>
            <w:right w:w="0" w:type="dxa"/>
          </w:tblCellMar>
        </w:tblPrEx>
        <w:trPr>
          <w:trHeight w:val="645" w:hRule="atLeast"/>
        </w:trPr>
        <w:tc>
          <w:tcPr>
            <w:tcW w:w="5000" w:type="pct"/>
            <w:gridSpan w:val="11"/>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注：本表反映部门本年度一般公共预算财政拨款支出情况。本表金额转换为万元时，因四舍五入可能存在尾差。</w:t>
            </w:r>
          </w:p>
        </w:tc>
      </w:tr>
    </w:tbl>
    <w:p>
      <w:pPr>
        <w:rPr>
          <w:rFonts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tbl>
      <w:tblPr>
        <w:tblStyle w:val="5"/>
        <w:tblW w:w="4996" w:type="pct"/>
        <w:tblInd w:w="0" w:type="dxa"/>
        <w:tblLayout w:type="autofit"/>
        <w:tblCellMar>
          <w:top w:w="0" w:type="dxa"/>
          <w:left w:w="108" w:type="dxa"/>
          <w:bottom w:w="0" w:type="dxa"/>
          <w:right w:w="108" w:type="dxa"/>
        </w:tblCellMar>
      </w:tblPr>
      <w:tblGrid>
        <w:gridCol w:w="989"/>
        <w:gridCol w:w="2830"/>
        <w:gridCol w:w="821"/>
        <w:gridCol w:w="654"/>
        <w:gridCol w:w="334"/>
        <w:gridCol w:w="997"/>
        <w:gridCol w:w="1006"/>
        <w:gridCol w:w="261"/>
        <w:gridCol w:w="555"/>
        <w:gridCol w:w="991"/>
        <w:gridCol w:w="3541"/>
        <w:gridCol w:w="1184"/>
      </w:tblGrid>
      <w:tr>
        <w:tblPrEx>
          <w:tblCellMar>
            <w:top w:w="0" w:type="dxa"/>
            <w:left w:w="108" w:type="dxa"/>
            <w:bottom w:w="0" w:type="dxa"/>
            <w:right w:w="108" w:type="dxa"/>
          </w:tblCellMar>
        </w:tblPrEx>
        <w:trPr>
          <w:trHeight w:val="450" w:hRule="atLeast"/>
        </w:trPr>
        <w:tc>
          <w:tcPr>
            <w:tcW w:w="349" w:type="pct"/>
            <w:shd w:val="clear" w:color="auto" w:fill="FFFFFF"/>
            <w:vAlign w:val="center"/>
          </w:tcPr>
          <w:p>
            <w:pPr>
              <w:widowControl/>
              <w:jc w:val="left"/>
              <w:rPr>
                <w:rFonts w:ascii="宋体" w:hAnsi="宋体" w:eastAsia="宋体" w:cs="Arial"/>
                <w:kern w:val="0"/>
                <w:sz w:val="22"/>
              </w:rPr>
            </w:pPr>
            <w:r>
              <w:rPr>
                <w:rFonts w:hint="eastAsia" w:ascii="宋体" w:hAnsi="宋体" w:eastAsia="宋体" w:cs="Arial"/>
                <w:kern w:val="0"/>
                <w:sz w:val="22"/>
              </w:rPr>
              <w:t>　</w:t>
            </w:r>
          </w:p>
        </w:tc>
        <w:tc>
          <w:tcPr>
            <w:tcW w:w="4650" w:type="pct"/>
            <w:gridSpan w:val="11"/>
            <w:shd w:val="clear" w:color="auto" w:fill="FFFFFF"/>
            <w:vAlign w:val="center"/>
          </w:tcPr>
          <w:p>
            <w:pPr>
              <w:widowControl/>
              <w:jc w:val="center"/>
              <w:rPr>
                <w:rFonts w:ascii="黑体" w:hAnsi="宋体" w:eastAsia="黑体" w:cs="Arial"/>
                <w:kern w:val="0"/>
                <w:sz w:val="32"/>
                <w:szCs w:val="32"/>
              </w:rPr>
            </w:pPr>
            <w:r>
              <w:rPr>
                <w:rFonts w:hint="eastAsia" w:ascii="黑体" w:hAnsi="宋体" w:eastAsia="黑体" w:cs="Arial"/>
                <w:kern w:val="0"/>
                <w:sz w:val="32"/>
                <w:szCs w:val="32"/>
              </w:rPr>
              <w:t>一般公共预算财政拨款基本支出决算表</w:t>
            </w:r>
          </w:p>
        </w:tc>
      </w:tr>
      <w:tr>
        <w:tblPrEx>
          <w:tblCellMar>
            <w:top w:w="0" w:type="dxa"/>
            <w:left w:w="108" w:type="dxa"/>
            <w:bottom w:w="0" w:type="dxa"/>
            <w:right w:w="108" w:type="dxa"/>
          </w:tblCellMar>
        </w:tblPrEx>
        <w:trPr>
          <w:trHeight w:val="300" w:hRule="atLeast"/>
        </w:trPr>
        <w:tc>
          <w:tcPr>
            <w:tcW w:w="349" w:type="pct"/>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998" w:type="pct"/>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290" w:type="pct"/>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231" w:type="pct"/>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470" w:type="pct"/>
            <w:gridSpan w:val="2"/>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447" w:type="pct"/>
            <w:gridSpan w:val="2"/>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194" w:type="pct"/>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1599" w:type="pct"/>
            <w:gridSpan w:val="2"/>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416" w:type="pct"/>
            <w:shd w:val="clear" w:color="auto" w:fill="FFFFFF"/>
            <w:vAlign w:val="center"/>
          </w:tcPr>
          <w:p>
            <w:pPr>
              <w:widowControl/>
              <w:jc w:val="right"/>
              <w:rPr>
                <w:rFonts w:ascii="宋体" w:hAnsi="宋体" w:eastAsia="宋体" w:cs="Arial"/>
                <w:kern w:val="0"/>
                <w:sz w:val="20"/>
                <w:szCs w:val="20"/>
              </w:rPr>
            </w:pPr>
            <w:r>
              <w:rPr>
                <w:rFonts w:hint="eastAsia" w:ascii="宋体" w:hAnsi="宋体" w:eastAsia="宋体" w:cs="Arial"/>
                <w:kern w:val="0"/>
                <w:sz w:val="20"/>
                <w:szCs w:val="20"/>
              </w:rPr>
              <w:t>公开06表</w:t>
            </w:r>
          </w:p>
        </w:tc>
      </w:tr>
      <w:tr>
        <w:tblPrEx>
          <w:tblCellMar>
            <w:top w:w="0" w:type="dxa"/>
            <w:left w:w="108" w:type="dxa"/>
            <w:bottom w:w="0" w:type="dxa"/>
            <w:right w:w="108" w:type="dxa"/>
          </w:tblCellMar>
        </w:tblPrEx>
        <w:trPr>
          <w:trHeight w:val="270" w:hRule="atLeast"/>
        </w:trPr>
        <w:tc>
          <w:tcPr>
            <w:tcW w:w="1638" w:type="pct"/>
            <w:gridSpan w:val="3"/>
            <w:tcBorders>
              <w:top w:val="nil"/>
              <w:left w:val="nil"/>
              <w:bottom w:val="single" w:color="auto" w:sz="4" w:space="0"/>
              <w:right w:val="nil"/>
            </w:tcBorders>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20"/>
                <w:szCs w:val="20"/>
              </w:rPr>
              <w:t>部门：</w:t>
            </w:r>
            <w:r>
              <w:rPr>
                <w:rFonts w:hint="eastAsia" w:ascii="宋体" w:hAnsi="宋体" w:cs="宋体"/>
                <w:kern w:val="0"/>
                <w:sz w:val="20"/>
                <w:szCs w:val="20"/>
              </w:rPr>
              <w:t>焦作市马村区人民检察院</w:t>
            </w:r>
          </w:p>
        </w:tc>
        <w:tc>
          <w:tcPr>
            <w:tcW w:w="231" w:type="pct"/>
            <w:tcBorders>
              <w:top w:val="nil"/>
              <w:left w:val="nil"/>
              <w:bottom w:val="single" w:color="auto" w:sz="4" w:space="0"/>
              <w:right w:val="nil"/>
            </w:tcBorders>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470" w:type="pct"/>
            <w:gridSpan w:val="2"/>
            <w:tcBorders>
              <w:top w:val="nil"/>
              <w:left w:val="nil"/>
              <w:bottom w:val="single" w:color="auto" w:sz="4" w:space="0"/>
              <w:right w:val="nil"/>
            </w:tcBorders>
            <w:shd w:val="clear" w:color="auto" w:fill="FFFFFF"/>
            <w:vAlign w:val="center"/>
          </w:tcPr>
          <w:p>
            <w:pPr>
              <w:widowControl/>
              <w:jc w:val="center"/>
              <w:rPr>
                <w:rFonts w:ascii="宋体" w:hAnsi="宋体" w:eastAsia="宋体" w:cs="Arial"/>
                <w:kern w:val="0"/>
                <w:sz w:val="22"/>
              </w:rPr>
            </w:pPr>
            <w:r>
              <w:rPr>
                <w:rFonts w:hint="eastAsia" w:ascii="宋体" w:hAnsi="宋体" w:eastAsia="宋体" w:cs="Arial"/>
                <w:kern w:val="0"/>
                <w:sz w:val="22"/>
              </w:rPr>
              <w:t>　</w:t>
            </w:r>
          </w:p>
        </w:tc>
        <w:tc>
          <w:tcPr>
            <w:tcW w:w="447" w:type="pct"/>
            <w:gridSpan w:val="2"/>
            <w:tcBorders>
              <w:top w:val="nil"/>
              <w:left w:val="nil"/>
              <w:bottom w:val="single" w:color="auto" w:sz="4" w:space="0"/>
              <w:right w:val="nil"/>
            </w:tcBorders>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194" w:type="pct"/>
            <w:tcBorders>
              <w:top w:val="nil"/>
              <w:left w:val="nil"/>
              <w:bottom w:val="single" w:color="auto" w:sz="4" w:space="0"/>
              <w:right w:val="nil"/>
            </w:tcBorders>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1599" w:type="pct"/>
            <w:gridSpan w:val="2"/>
            <w:tcBorders>
              <w:top w:val="nil"/>
              <w:left w:val="nil"/>
              <w:bottom w:val="single" w:color="auto" w:sz="4" w:space="0"/>
              <w:right w:val="nil"/>
            </w:tcBorders>
            <w:shd w:val="clear" w:color="auto" w:fill="FFFFFF"/>
            <w:vAlign w:val="center"/>
          </w:tcPr>
          <w:p>
            <w:pPr>
              <w:widowControl/>
              <w:jc w:val="left"/>
              <w:rPr>
                <w:rFonts w:ascii="宋体" w:hAnsi="宋体" w:eastAsia="宋体" w:cs="Arial"/>
                <w:kern w:val="0"/>
                <w:sz w:val="18"/>
                <w:szCs w:val="18"/>
              </w:rPr>
            </w:pPr>
            <w:r>
              <w:rPr>
                <w:rFonts w:hint="eastAsia" w:ascii="宋体" w:hAnsi="宋体" w:eastAsia="宋体" w:cs="Arial"/>
                <w:kern w:val="0"/>
                <w:sz w:val="18"/>
                <w:szCs w:val="18"/>
              </w:rPr>
              <w:t>　</w:t>
            </w:r>
          </w:p>
        </w:tc>
        <w:tc>
          <w:tcPr>
            <w:tcW w:w="416" w:type="pct"/>
            <w:tcBorders>
              <w:top w:val="nil"/>
              <w:left w:val="nil"/>
              <w:bottom w:val="single" w:color="auto" w:sz="4" w:space="0"/>
              <w:right w:val="nil"/>
            </w:tcBorders>
            <w:shd w:val="clear" w:color="auto" w:fill="FFFFFF"/>
            <w:vAlign w:val="center"/>
          </w:tcPr>
          <w:p>
            <w:pPr>
              <w:widowControl/>
              <w:jc w:val="right"/>
              <w:rPr>
                <w:rFonts w:ascii="宋体" w:hAnsi="宋体" w:eastAsia="宋体" w:cs="Arial"/>
                <w:kern w:val="0"/>
                <w:sz w:val="20"/>
                <w:szCs w:val="20"/>
              </w:rPr>
            </w:pPr>
            <w:r>
              <w:rPr>
                <w:rFonts w:hint="eastAsia" w:ascii="宋体" w:hAnsi="宋体" w:eastAsia="宋体" w:cs="Arial"/>
                <w:kern w:val="0"/>
                <w:sz w:val="20"/>
                <w:szCs w:val="20"/>
              </w:rPr>
              <w:t>单位：万元</w:t>
            </w:r>
          </w:p>
        </w:tc>
      </w:tr>
      <w:tr>
        <w:tblPrEx>
          <w:tblCellMar>
            <w:top w:w="0" w:type="dxa"/>
            <w:left w:w="108" w:type="dxa"/>
            <w:bottom w:w="0" w:type="dxa"/>
            <w:right w:w="108" w:type="dxa"/>
          </w:tblCellMar>
        </w:tblPrEx>
        <w:trPr>
          <w:trHeight w:val="447" w:hRule="atLeast"/>
        </w:trPr>
        <w:tc>
          <w:tcPr>
            <w:tcW w:w="1638" w:type="pct"/>
            <w:gridSpan w:val="3"/>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人员经费</w:t>
            </w:r>
          </w:p>
        </w:tc>
        <w:tc>
          <w:tcPr>
            <w:tcW w:w="3361" w:type="pct"/>
            <w:gridSpan w:val="9"/>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公用经费</w:t>
            </w:r>
          </w:p>
        </w:tc>
      </w:tr>
      <w:tr>
        <w:tblPrEx>
          <w:tblCellMar>
            <w:top w:w="0" w:type="dxa"/>
            <w:left w:w="108" w:type="dxa"/>
            <w:bottom w:w="0" w:type="dxa"/>
            <w:right w:w="108" w:type="dxa"/>
          </w:tblCellMar>
        </w:tblPrEx>
        <w:trPr>
          <w:trHeight w:val="312"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科目编码</w:t>
            </w:r>
          </w:p>
        </w:tc>
        <w:tc>
          <w:tcPr>
            <w:tcW w:w="998"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科目名称</w:t>
            </w:r>
          </w:p>
        </w:tc>
        <w:tc>
          <w:tcPr>
            <w:tcW w:w="290"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决算数</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科目编码</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科目名称</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决算数</w:t>
            </w:r>
          </w:p>
        </w:tc>
        <w:tc>
          <w:tcPr>
            <w:tcW w:w="350"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科目编码</w:t>
            </w:r>
          </w:p>
        </w:tc>
        <w:tc>
          <w:tcPr>
            <w:tcW w:w="1248" w:type="pct"/>
            <w:tcBorders>
              <w:top w:val="nil"/>
              <w:left w:val="nil"/>
              <w:bottom w:val="single" w:color="000000" w:sz="4" w:space="0"/>
              <w:right w:val="single" w:color="000000" w:sz="4" w:space="0"/>
            </w:tcBorders>
            <w:shd w:val="clear" w:color="auto" w:fill="auto"/>
            <w:vAlign w:val="center"/>
          </w:tcPr>
          <w:p>
            <w:pPr>
              <w:widowControl/>
              <w:jc w:val="center"/>
              <w:textAlignment w:val="center"/>
            </w:pPr>
            <w:r>
              <w:rPr>
                <w:rFonts w:hint="eastAsia" w:ascii="宋体" w:hAnsi="宋体" w:eastAsia="宋体" w:cs="宋体"/>
                <w:kern w:val="0"/>
                <w:sz w:val="20"/>
                <w:szCs w:val="20"/>
              </w:rPr>
              <w:t>科目名称</w:t>
            </w:r>
          </w:p>
        </w:tc>
        <w:tc>
          <w:tcPr>
            <w:tcW w:w="416"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Arial"/>
                <w:kern w:val="0"/>
                <w:sz w:val="20"/>
                <w:szCs w:val="20"/>
              </w:rPr>
            </w:pPr>
            <w:r>
              <w:rPr>
                <w:rFonts w:hint="eastAsia" w:ascii="宋体" w:hAnsi="宋体" w:eastAsia="宋体" w:cs="宋体"/>
                <w:kern w:val="0"/>
                <w:sz w:val="20"/>
                <w:szCs w:val="20"/>
              </w:rPr>
              <w:t>决算数</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工资福利支出</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680.23</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商品和服务支出</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137.46</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307</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债务利息及费用支出</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30101</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基本工资</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211.49</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30201</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办公费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26.60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30701</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国内债务付息</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30102</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津贴补贴</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84.75</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30202</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印刷费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1.87</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30702</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国外债务付息</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30103</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奖金</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69.84</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30203</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咨询费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资本性支出</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0.35</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30106</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伙食补助费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30204</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手续费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31001</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房屋建筑物购建</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30107</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绩效工资</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190.31</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30205</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水费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1.85</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31002</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办公设备购置</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0.35</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30108</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机关事业单位基本养老保险缴费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47.24</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30206</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电费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11.97</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31003</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专用设备购置</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30109</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职业年金缴费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11.81</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30207</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邮电费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2.11</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31005</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基础设施建设</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30110</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职工基本医疗保险缴费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26.16</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30208</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取暖费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31006</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大型修缮</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30111</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公务员医疗补助缴费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30209</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物业管理费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31007</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信息网络及软件购置更新</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30112</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其他社会保障缴费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30211</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差旅费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0.23</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31008</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物资储备</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30113</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住房公积金</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38.63</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30212</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因公出国（境）费用</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31009</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土地补偿</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30114</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医疗费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30213</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维修（护）费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4.09</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31010</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安置补助</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30199</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其他工资福利支出</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30214</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租赁费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31011</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地上附着物和青苗补偿</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对个人和家庭的补助</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28.54</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30215</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会议费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31012</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拆迁补偿</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30301</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离休费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30216</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培训费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0.12</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31013</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公务用车购置</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30302</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退休费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18.66</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30217</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公务接待费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31019</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其他交通工具购置</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30303</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退职（役）费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30218</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专用材料费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31021</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文物和陈列品购置</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30304</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抚恤金</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30224</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被装购置费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0.34</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31022</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无形资产购置</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30305</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生活补助</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8.30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30225</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专用燃料费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31099</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其他资本性支出</w:t>
            </w:r>
          </w:p>
        </w:tc>
        <w:tc>
          <w:tcPr>
            <w:tcW w:w="416"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30306</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救济费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30226</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劳务费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60.32</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399</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其他支出</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30307</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医疗费补助</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30227</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委托业务费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4.12</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39906</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赠与</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30308</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助学金</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30228</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工会经费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39907</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国家赔偿费用支出</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30309</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奖励金</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30229</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福利费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39908</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对民间非营利组织和群众性自治组织补贴</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30310</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个人农业生产补贴</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30231</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公务用车运行维护费</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39999</w:t>
            </w:r>
          </w:p>
        </w:tc>
        <w:tc>
          <w:tcPr>
            <w:tcW w:w="1248" w:type="pct"/>
            <w:tcBorders>
              <w:top w:val="nil"/>
              <w:left w:val="nil"/>
              <w:bottom w:val="single" w:color="000000" w:sz="4" w:space="0"/>
              <w:right w:val="single" w:color="000000" w:sz="4" w:space="0"/>
            </w:tcBorders>
            <w:shd w:val="clear" w:color="auto" w:fill="auto"/>
            <w:vAlign w:val="center"/>
          </w:tcPr>
          <w:p>
            <w:pPr>
              <w:widowControl/>
              <w:jc w:val="left"/>
              <w:textAlignment w:val="center"/>
            </w:pPr>
            <w:r>
              <w:rPr>
                <w:rFonts w:hint="eastAsia" w:ascii="宋体" w:hAnsi="宋体" w:eastAsia="宋体" w:cs="宋体"/>
                <w:kern w:val="0"/>
                <w:sz w:val="20"/>
                <w:szCs w:val="20"/>
              </w:rPr>
              <w:t xml:space="preserve">  </w:t>
            </w:r>
            <w:r>
              <w:rPr>
                <w:rStyle w:val="12"/>
                <w:rFonts w:hint="default"/>
                <w:color w:val="auto"/>
              </w:rPr>
              <w:t>其他支出</w:t>
            </w: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r>
              <w:rPr>
                <w:rFonts w:hint="eastAsia" w:ascii="宋体" w:hAnsi="宋体" w:eastAsia="宋体" w:cs="宋体"/>
                <w:kern w:val="0"/>
                <w:sz w:val="20"/>
                <w:szCs w:val="20"/>
              </w:rPr>
              <w:t>0.00</w:t>
            </w: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30311</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代缴社会保险费</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30239</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其他交通费用</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23.83</w:t>
            </w:r>
          </w:p>
        </w:tc>
        <w:tc>
          <w:tcPr>
            <w:tcW w:w="350" w:type="pct"/>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kern w:val="0"/>
                <w:sz w:val="20"/>
                <w:szCs w:val="20"/>
              </w:rPr>
            </w:pPr>
          </w:p>
        </w:tc>
        <w:tc>
          <w:tcPr>
            <w:tcW w:w="1248" w:type="pct"/>
            <w:tcBorders>
              <w:top w:val="nil"/>
              <w:left w:val="nil"/>
              <w:bottom w:val="single" w:color="000000" w:sz="4" w:space="0"/>
              <w:right w:val="single" w:color="000000" w:sz="4" w:space="0"/>
            </w:tcBorders>
            <w:shd w:val="clear" w:color="auto" w:fill="auto"/>
            <w:vAlign w:val="center"/>
          </w:tcPr>
          <w:p>
            <w:pPr>
              <w:jc w:val="left"/>
            </w:pP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30399</w:t>
            </w:r>
          </w:p>
        </w:tc>
        <w:tc>
          <w:tcPr>
            <w:tcW w:w="998" w:type="pct"/>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其他对个人和家庭的补助</w:t>
            </w:r>
          </w:p>
        </w:tc>
        <w:tc>
          <w:tcPr>
            <w:tcW w:w="290" w:type="pct"/>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1.58</w:t>
            </w: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30240</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 xml:space="preserve">  </w:t>
            </w:r>
            <w:r>
              <w:rPr>
                <w:rStyle w:val="12"/>
                <w:rFonts w:hint="default"/>
                <w:color w:val="auto"/>
              </w:rPr>
              <w:t>税金及附加费用</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kern w:val="0"/>
                <w:sz w:val="20"/>
                <w:szCs w:val="20"/>
              </w:rPr>
            </w:pPr>
          </w:p>
        </w:tc>
        <w:tc>
          <w:tcPr>
            <w:tcW w:w="1248" w:type="pct"/>
            <w:tcBorders>
              <w:top w:val="nil"/>
              <w:left w:val="nil"/>
              <w:bottom w:val="single" w:color="000000" w:sz="4" w:space="0"/>
              <w:right w:val="single" w:color="000000" w:sz="4" w:space="0"/>
            </w:tcBorders>
            <w:shd w:val="clear" w:color="auto" w:fill="auto"/>
            <w:vAlign w:val="center"/>
          </w:tcPr>
          <w:p>
            <w:pPr>
              <w:jc w:val="left"/>
            </w:pP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p>
        </w:tc>
      </w:tr>
      <w:tr>
        <w:tblPrEx>
          <w:tblCellMar>
            <w:top w:w="0" w:type="dxa"/>
            <w:left w:w="108" w:type="dxa"/>
            <w:bottom w:w="0" w:type="dxa"/>
            <w:right w:w="108" w:type="dxa"/>
          </w:tblCellMar>
        </w:tblPrEx>
        <w:trPr>
          <w:trHeight w:val="300" w:hRule="atLeast"/>
        </w:trPr>
        <w:tc>
          <w:tcPr>
            <w:tcW w:w="349" w:type="pct"/>
            <w:tcBorders>
              <w:top w:val="nil"/>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Arial"/>
                <w:kern w:val="0"/>
                <w:sz w:val="20"/>
                <w:szCs w:val="20"/>
              </w:rPr>
            </w:pPr>
          </w:p>
        </w:tc>
        <w:tc>
          <w:tcPr>
            <w:tcW w:w="998" w:type="pct"/>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kern w:val="0"/>
                <w:sz w:val="20"/>
                <w:szCs w:val="20"/>
              </w:rPr>
            </w:pPr>
          </w:p>
        </w:tc>
        <w:tc>
          <w:tcPr>
            <w:tcW w:w="290"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p>
        </w:tc>
        <w:tc>
          <w:tcPr>
            <w:tcW w:w="349"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30299</w:t>
            </w:r>
          </w:p>
        </w:tc>
        <w:tc>
          <w:tcPr>
            <w:tcW w:w="707" w:type="pct"/>
            <w:gridSpan w:val="2"/>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Arial"/>
                <w:kern w:val="0"/>
                <w:sz w:val="20"/>
                <w:szCs w:val="20"/>
              </w:rPr>
            </w:pPr>
            <w:r>
              <w:rPr>
                <w:rFonts w:hint="eastAsia" w:ascii="宋体" w:hAnsi="宋体" w:eastAsia="宋体" w:cs="宋体"/>
                <w:kern w:val="0"/>
                <w:sz w:val="20"/>
                <w:szCs w:val="20"/>
              </w:rPr>
              <w:t>其他商品和服务支出</w:t>
            </w:r>
          </w:p>
        </w:tc>
        <w:tc>
          <w:tcPr>
            <w:tcW w:w="288" w:type="pct"/>
            <w:gridSpan w:val="2"/>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Arial"/>
                <w:kern w:val="0"/>
                <w:sz w:val="20"/>
                <w:szCs w:val="20"/>
              </w:rPr>
            </w:pPr>
            <w:r>
              <w:rPr>
                <w:rFonts w:hint="eastAsia" w:ascii="宋体" w:hAnsi="宋体" w:eastAsia="宋体" w:cs="宋体"/>
                <w:kern w:val="0"/>
                <w:sz w:val="20"/>
                <w:szCs w:val="20"/>
              </w:rPr>
              <w:t>0.00</w:t>
            </w:r>
          </w:p>
        </w:tc>
        <w:tc>
          <w:tcPr>
            <w:tcW w:w="350" w:type="pct"/>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kern w:val="0"/>
                <w:sz w:val="20"/>
                <w:szCs w:val="20"/>
              </w:rPr>
            </w:pPr>
          </w:p>
        </w:tc>
        <w:tc>
          <w:tcPr>
            <w:tcW w:w="1248" w:type="pct"/>
            <w:tcBorders>
              <w:top w:val="nil"/>
              <w:left w:val="nil"/>
              <w:bottom w:val="single" w:color="000000" w:sz="4" w:space="0"/>
              <w:right w:val="single" w:color="000000" w:sz="4" w:space="0"/>
            </w:tcBorders>
            <w:shd w:val="clear" w:color="auto" w:fill="auto"/>
            <w:vAlign w:val="center"/>
          </w:tcPr>
          <w:p>
            <w:pPr>
              <w:jc w:val="left"/>
            </w:pPr>
          </w:p>
        </w:tc>
        <w:tc>
          <w:tcPr>
            <w:tcW w:w="416" w:type="pct"/>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kern w:val="0"/>
                <w:sz w:val="20"/>
                <w:szCs w:val="20"/>
              </w:rPr>
            </w:pPr>
          </w:p>
        </w:tc>
      </w:tr>
      <w:tr>
        <w:tblPrEx>
          <w:tblCellMar>
            <w:top w:w="0" w:type="dxa"/>
            <w:left w:w="108" w:type="dxa"/>
            <w:bottom w:w="0" w:type="dxa"/>
            <w:right w:w="108" w:type="dxa"/>
          </w:tblCellMar>
        </w:tblPrEx>
        <w:trPr>
          <w:trHeight w:val="300" w:hRule="atLeast"/>
        </w:trPr>
        <w:tc>
          <w:tcPr>
            <w:tcW w:w="1348" w:type="pct"/>
            <w:gridSpan w:val="2"/>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Arial"/>
                <w:kern w:val="0"/>
                <w:sz w:val="20"/>
                <w:szCs w:val="20"/>
              </w:rPr>
            </w:pPr>
            <w:r>
              <w:rPr>
                <w:rFonts w:hint="eastAsia" w:ascii="宋体" w:hAnsi="宋体" w:eastAsia="宋体" w:cs="Arial"/>
                <w:kern w:val="0"/>
                <w:sz w:val="20"/>
                <w:szCs w:val="20"/>
              </w:rPr>
              <w:t>人员经费合计</w:t>
            </w:r>
          </w:p>
        </w:tc>
        <w:tc>
          <w:tcPr>
            <w:tcW w:w="290" w:type="pct"/>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Arial"/>
                <w:kern w:val="0"/>
                <w:sz w:val="20"/>
                <w:szCs w:val="20"/>
              </w:rPr>
            </w:pPr>
            <w:r>
              <w:rPr>
                <w:rFonts w:hint="eastAsia" w:ascii="宋体" w:hAnsi="宋体" w:eastAsia="宋体" w:cs="Arial"/>
                <w:kern w:val="0"/>
                <w:sz w:val="20"/>
                <w:szCs w:val="20"/>
              </w:rPr>
              <w:t>708.77　</w:t>
            </w:r>
          </w:p>
        </w:tc>
        <w:tc>
          <w:tcPr>
            <w:tcW w:w="2944" w:type="pct"/>
            <w:gridSpan w:val="8"/>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Arial"/>
                <w:kern w:val="0"/>
                <w:sz w:val="20"/>
                <w:szCs w:val="20"/>
              </w:rPr>
            </w:pPr>
            <w:r>
              <w:rPr>
                <w:rFonts w:hint="eastAsia" w:ascii="宋体" w:hAnsi="宋体" w:eastAsia="宋体" w:cs="Arial"/>
                <w:kern w:val="0"/>
                <w:sz w:val="20"/>
                <w:szCs w:val="20"/>
              </w:rPr>
              <w:t>公用经费合计</w:t>
            </w:r>
          </w:p>
        </w:tc>
        <w:tc>
          <w:tcPr>
            <w:tcW w:w="416" w:type="pct"/>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Arial"/>
                <w:kern w:val="0"/>
                <w:sz w:val="20"/>
                <w:szCs w:val="20"/>
              </w:rPr>
            </w:pPr>
            <w:r>
              <w:rPr>
                <w:rFonts w:hint="eastAsia" w:ascii="宋体" w:hAnsi="宋体" w:eastAsia="宋体" w:cs="Arial"/>
                <w:kern w:val="0"/>
                <w:sz w:val="20"/>
                <w:szCs w:val="20"/>
              </w:rPr>
              <w:t>137.81　</w:t>
            </w:r>
          </w:p>
        </w:tc>
      </w:tr>
      <w:tr>
        <w:tblPrEx>
          <w:tblCellMar>
            <w:top w:w="0" w:type="dxa"/>
            <w:left w:w="108" w:type="dxa"/>
            <w:bottom w:w="0" w:type="dxa"/>
            <w:right w:w="108" w:type="dxa"/>
          </w:tblCellMar>
        </w:tblPrEx>
        <w:trPr>
          <w:trHeight w:val="300" w:hRule="atLeast"/>
        </w:trPr>
        <w:tc>
          <w:tcPr>
            <w:tcW w:w="5000" w:type="pct"/>
            <w:gridSpan w:val="12"/>
            <w:shd w:val="clear" w:color="auto" w:fill="FFFFFF"/>
            <w:vAlign w:val="center"/>
          </w:tcPr>
          <w:p>
            <w:pPr>
              <w:widowControl/>
              <w:jc w:val="left"/>
              <w:rPr>
                <w:rFonts w:ascii="宋体" w:hAnsi="宋体" w:eastAsia="宋体" w:cs="Arial"/>
                <w:kern w:val="0"/>
                <w:sz w:val="20"/>
                <w:szCs w:val="20"/>
              </w:rPr>
            </w:pPr>
            <w:r>
              <w:rPr>
                <w:rFonts w:hint="eastAsia" w:ascii="宋体" w:hAnsi="宋体" w:eastAsia="宋体" w:cs="Arial"/>
                <w:kern w:val="0"/>
                <w:sz w:val="20"/>
                <w:szCs w:val="20"/>
              </w:rPr>
              <w:t>注：本表反映部门本年度一般公共预算财政拨款基本支出明细情况。本表金额转换为万元时，因四舍五入可能存在尾差。</w:t>
            </w:r>
          </w:p>
        </w:tc>
      </w:tr>
    </w:tbl>
    <w:p>
      <w:pPr>
        <w:rPr>
          <w:rFonts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tbl>
      <w:tblPr>
        <w:tblStyle w:val="5"/>
        <w:tblW w:w="13807" w:type="dxa"/>
        <w:tblInd w:w="0" w:type="dxa"/>
        <w:tblLayout w:type="fixed"/>
        <w:tblCellMar>
          <w:top w:w="0" w:type="dxa"/>
          <w:left w:w="0" w:type="dxa"/>
          <w:bottom w:w="0" w:type="dxa"/>
          <w:right w:w="0" w:type="dxa"/>
        </w:tblCellMar>
      </w:tblPr>
      <w:tblGrid>
        <w:gridCol w:w="1151"/>
        <w:gridCol w:w="1149"/>
        <w:gridCol w:w="1150"/>
        <w:gridCol w:w="1150"/>
        <w:gridCol w:w="1151"/>
        <w:gridCol w:w="1150"/>
        <w:gridCol w:w="1151"/>
        <w:gridCol w:w="1151"/>
        <w:gridCol w:w="1151"/>
        <w:gridCol w:w="1151"/>
        <w:gridCol w:w="1151"/>
        <w:gridCol w:w="1151"/>
      </w:tblGrid>
      <w:tr>
        <w:tblPrEx>
          <w:tblCellMar>
            <w:top w:w="0" w:type="dxa"/>
            <w:left w:w="0" w:type="dxa"/>
            <w:bottom w:w="0" w:type="dxa"/>
            <w:right w:w="0" w:type="dxa"/>
          </w:tblCellMar>
        </w:tblPrEx>
        <w:trPr>
          <w:trHeight w:val="600" w:hRule="atLeast"/>
        </w:trPr>
        <w:tc>
          <w:tcPr>
            <w:tcW w:w="13807" w:type="dxa"/>
            <w:gridSpan w:val="12"/>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华文中宋" w:hAnsi="华文中宋" w:eastAsia="华文中宋" w:cs="华文中宋"/>
                <w:sz w:val="32"/>
                <w:szCs w:val="32"/>
              </w:rPr>
            </w:pPr>
            <w:r>
              <w:rPr>
                <w:rFonts w:hint="eastAsia" w:ascii="黑体" w:hAnsi="黑体" w:eastAsia="黑体" w:cs="黑体"/>
                <w:kern w:val="0"/>
                <w:sz w:val="36"/>
                <w:szCs w:val="36"/>
              </w:rPr>
              <w:t>一般公共预算财政拨款“三公”经费支出决算表</w:t>
            </w:r>
          </w:p>
        </w:tc>
      </w:tr>
      <w:tr>
        <w:tblPrEx>
          <w:tblCellMar>
            <w:top w:w="0" w:type="dxa"/>
            <w:left w:w="0" w:type="dxa"/>
            <w:bottom w:w="0" w:type="dxa"/>
            <w:right w:w="0" w:type="dxa"/>
          </w:tblCellMar>
        </w:tblPrEx>
        <w:trPr>
          <w:trHeight w:val="222" w:hRule="atLeast"/>
        </w:trPr>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49"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0"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0"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0"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公开07表</w:t>
            </w:r>
          </w:p>
        </w:tc>
      </w:tr>
      <w:tr>
        <w:tblPrEx>
          <w:tblCellMar>
            <w:top w:w="0" w:type="dxa"/>
            <w:left w:w="0" w:type="dxa"/>
            <w:bottom w:w="0" w:type="dxa"/>
            <w:right w:w="0" w:type="dxa"/>
          </w:tblCellMar>
        </w:tblPrEx>
        <w:trPr>
          <w:trHeight w:val="300" w:hRule="atLeast"/>
        </w:trPr>
        <w:tc>
          <w:tcPr>
            <w:tcW w:w="4600" w:type="dxa"/>
            <w:gridSpan w:val="4"/>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r>
              <w:rPr>
                <w:rFonts w:hint="eastAsia" w:ascii="宋体" w:hAnsi="宋体" w:cs="宋体"/>
                <w:kern w:val="0"/>
                <w:sz w:val="20"/>
                <w:szCs w:val="20"/>
              </w:rPr>
              <w:t>部门：焦作市马村区人民检察院</w:t>
            </w:r>
          </w:p>
        </w:tc>
        <w:tc>
          <w:tcPr>
            <w:tcW w:w="1151"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0"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151" w:type="dxa"/>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单位：万元</w:t>
            </w:r>
          </w:p>
        </w:tc>
      </w:tr>
      <w:tr>
        <w:tblPrEx>
          <w:tblCellMar>
            <w:top w:w="0" w:type="dxa"/>
            <w:left w:w="0" w:type="dxa"/>
            <w:bottom w:w="0" w:type="dxa"/>
            <w:right w:w="0" w:type="dxa"/>
          </w:tblCellMar>
        </w:tblPrEx>
        <w:trPr>
          <w:trHeight w:val="559" w:hRule="atLeast"/>
        </w:trPr>
        <w:tc>
          <w:tcPr>
            <w:tcW w:w="6901" w:type="dxa"/>
            <w:gridSpan w:val="6"/>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预算数</w:t>
            </w:r>
          </w:p>
        </w:tc>
        <w:tc>
          <w:tcPr>
            <w:tcW w:w="6906" w:type="dxa"/>
            <w:gridSpan w:val="6"/>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决算数</w:t>
            </w:r>
          </w:p>
        </w:tc>
      </w:tr>
      <w:tr>
        <w:tblPrEx>
          <w:tblCellMar>
            <w:top w:w="0" w:type="dxa"/>
            <w:left w:w="0" w:type="dxa"/>
            <w:bottom w:w="0" w:type="dxa"/>
            <w:right w:w="0" w:type="dxa"/>
          </w:tblCellMar>
        </w:tblPrEx>
        <w:trPr>
          <w:trHeight w:val="665" w:hRule="atLeast"/>
        </w:trPr>
        <w:tc>
          <w:tcPr>
            <w:tcW w:w="1151" w:type="dxa"/>
            <w:vMerge w:val="restar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合计</w:t>
            </w:r>
          </w:p>
        </w:tc>
        <w:tc>
          <w:tcPr>
            <w:tcW w:w="11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因公出国（境）费</w:t>
            </w:r>
          </w:p>
        </w:tc>
        <w:tc>
          <w:tcPr>
            <w:tcW w:w="345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公务用车购置及运行费</w:t>
            </w:r>
          </w:p>
        </w:tc>
        <w:tc>
          <w:tcPr>
            <w:tcW w:w="11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公务接待费</w:t>
            </w:r>
          </w:p>
        </w:tc>
        <w:tc>
          <w:tcPr>
            <w:tcW w:w="115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合计</w:t>
            </w:r>
          </w:p>
        </w:tc>
        <w:tc>
          <w:tcPr>
            <w:tcW w:w="115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因公出国（境）费</w:t>
            </w:r>
          </w:p>
        </w:tc>
        <w:tc>
          <w:tcPr>
            <w:tcW w:w="345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公务用车购置及运行费</w:t>
            </w:r>
          </w:p>
        </w:tc>
        <w:tc>
          <w:tcPr>
            <w:tcW w:w="1151" w:type="dxa"/>
            <w:vMerge w:val="restart"/>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公务接待费</w:t>
            </w:r>
          </w:p>
        </w:tc>
      </w:tr>
      <w:tr>
        <w:tblPrEx>
          <w:tblCellMar>
            <w:top w:w="0" w:type="dxa"/>
            <w:left w:w="0" w:type="dxa"/>
            <w:bottom w:w="0" w:type="dxa"/>
            <w:right w:w="0" w:type="dxa"/>
          </w:tblCellMar>
        </w:tblPrEx>
        <w:trPr>
          <w:trHeight w:val="600" w:hRule="atLeast"/>
        </w:trPr>
        <w:tc>
          <w:tcPr>
            <w:tcW w:w="1151" w:type="dxa"/>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1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15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小计</w:t>
            </w:r>
          </w:p>
        </w:tc>
        <w:tc>
          <w:tcPr>
            <w:tcW w:w="115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公务用车</w:t>
            </w:r>
            <w:r>
              <w:rPr>
                <w:rFonts w:hint="eastAsia" w:ascii="宋体" w:hAnsi="宋体" w:cs="宋体"/>
                <w:kern w:val="0"/>
                <w:sz w:val="20"/>
                <w:szCs w:val="20"/>
              </w:rPr>
              <w:br w:type="textWrapping"/>
            </w:r>
            <w:r>
              <w:rPr>
                <w:rFonts w:hint="eastAsia" w:ascii="宋体" w:hAnsi="宋体" w:cs="宋体"/>
                <w:kern w:val="0"/>
                <w:sz w:val="20"/>
                <w:szCs w:val="20"/>
              </w:rPr>
              <w:t>购置费</w:t>
            </w:r>
          </w:p>
        </w:tc>
        <w:tc>
          <w:tcPr>
            <w:tcW w:w="115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公务用车</w:t>
            </w:r>
            <w:r>
              <w:rPr>
                <w:rFonts w:hint="eastAsia" w:ascii="宋体" w:hAnsi="宋体" w:cs="宋体"/>
                <w:kern w:val="0"/>
                <w:sz w:val="20"/>
                <w:szCs w:val="20"/>
              </w:rPr>
              <w:br w:type="textWrapping"/>
            </w:r>
            <w:r>
              <w:rPr>
                <w:rFonts w:hint="eastAsia" w:ascii="宋体" w:hAnsi="宋体" w:cs="宋体"/>
                <w:kern w:val="0"/>
                <w:sz w:val="20"/>
                <w:szCs w:val="20"/>
              </w:rPr>
              <w:t>运行费</w:t>
            </w:r>
          </w:p>
        </w:tc>
        <w:tc>
          <w:tcPr>
            <w:tcW w:w="11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15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15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15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小计</w:t>
            </w:r>
          </w:p>
        </w:tc>
        <w:tc>
          <w:tcPr>
            <w:tcW w:w="115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公务用车</w:t>
            </w:r>
            <w:r>
              <w:rPr>
                <w:rFonts w:hint="eastAsia" w:ascii="宋体" w:hAnsi="宋体" w:cs="宋体"/>
                <w:kern w:val="0"/>
                <w:sz w:val="20"/>
                <w:szCs w:val="20"/>
              </w:rPr>
              <w:br w:type="textWrapping"/>
            </w:r>
            <w:r>
              <w:rPr>
                <w:rFonts w:hint="eastAsia" w:ascii="宋体" w:hAnsi="宋体" w:cs="宋体"/>
                <w:kern w:val="0"/>
                <w:sz w:val="20"/>
                <w:szCs w:val="20"/>
              </w:rPr>
              <w:t>购置费</w:t>
            </w:r>
          </w:p>
        </w:tc>
        <w:tc>
          <w:tcPr>
            <w:tcW w:w="115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公务用车</w:t>
            </w:r>
            <w:r>
              <w:rPr>
                <w:rFonts w:hint="eastAsia" w:ascii="宋体" w:hAnsi="宋体" w:cs="宋体"/>
                <w:kern w:val="0"/>
                <w:sz w:val="20"/>
                <w:szCs w:val="20"/>
              </w:rPr>
              <w:br w:type="textWrapping"/>
            </w:r>
            <w:r>
              <w:rPr>
                <w:rFonts w:hint="eastAsia" w:ascii="宋体" w:hAnsi="宋体" w:cs="宋体"/>
                <w:kern w:val="0"/>
                <w:sz w:val="20"/>
                <w:szCs w:val="20"/>
              </w:rPr>
              <w:t>运行费</w:t>
            </w:r>
          </w:p>
        </w:tc>
        <w:tc>
          <w:tcPr>
            <w:tcW w:w="1151" w:type="dxa"/>
            <w:vMerge w:val="continue"/>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559" w:hRule="atLeast"/>
        </w:trPr>
        <w:tc>
          <w:tcPr>
            <w:tcW w:w="1151"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11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w:t>
            </w:r>
          </w:p>
        </w:tc>
        <w:tc>
          <w:tcPr>
            <w:tcW w:w="11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w:t>
            </w:r>
          </w:p>
        </w:tc>
        <w:tc>
          <w:tcPr>
            <w:tcW w:w="11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1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1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11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w:t>
            </w:r>
          </w:p>
        </w:tc>
        <w:tc>
          <w:tcPr>
            <w:tcW w:w="1151"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w:t>
            </w:r>
          </w:p>
        </w:tc>
      </w:tr>
      <w:tr>
        <w:tblPrEx>
          <w:tblCellMar>
            <w:top w:w="0" w:type="dxa"/>
            <w:left w:w="0" w:type="dxa"/>
            <w:bottom w:w="0" w:type="dxa"/>
            <w:right w:w="0" w:type="dxa"/>
          </w:tblCellMar>
        </w:tblPrEx>
        <w:trPr>
          <w:trHeight w:val="855" w:hRule="atLeast"/>
        </w:trPr>
        <w:tc>
          <w:tcPr>
            <w:tcW w:w="1151" w:type="dxa"/>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r>
              <w:rPr>
                <w:rFonts w:hint="eastAsia" w:ascii="宋体" w:hAnsi="宋体" w:cs="宋体"/>
                <w:sz w:val="20"/>
                <w:szCs w:val="20"/>
              </w:rPr>
              <w:t>48.62</w:t>
            </w:r>
          </w:p>
        </w:tc>
        <w:tc>
          <w:tcPr>
            <w:tcW w:w="1149"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15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r>
              <w:rPr>
                <w:rFonts w:hint="eastAsia" w:ascii="宋体" w:hAnsi="宋体" w:cs="宋体"/>
                <w:sz w:val="20"/>
                <w:szCs w:val="20"/>
              </w:rPr>
              <w:t>46.24</w:t>
            </w:r>
          </w:p>
        </w:tc>
        <w:tc>
          <w:tcPr>
            <w:tcW w:w="115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151"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r>
              <w:rPr>
                <w:rFonts w:hint="eastAsia" w:ascii="宋体" w:hAnsi="宋体" w:cs="宋体"/>
                <w:sz w:val="20"/>
                <w:szCs w:val="20"/>
              </w:rPr>
              <w:t>46.24</w:t>
            </w:r>
          </w:p>
        </w:tc>
        <w:tc>
          <w:tcPr>
            <w:tcW w:w="115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r>
              <w:rPr>
                <w:rFonts w:hint="eastAsia" w:ascii="宋体" w:hAnsi="宋体" w:cs="宋体"/>
                <w:sz w:val="20"/>
                <w:szCs w:val="20"/>
              </w:rPr>
              <w:t>2.38</w:t>
            </w:r>
          </w:p>
        </w:tc>
        <w:tc>
          <w:tcPr>
            <w:tcW w:w="1151"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r>
              <w:rPr>
                <w:rFonts w:hint="eastAsia" w:ascii="宋体" w:hAnsi="宋体" w:cs="宋体"/>
                <w:sz w:val="20"/>
                <w:szCs w:val="20"/>
              </w:rPr>
              <w:t>24.14</w:t>
            </w:r>
          </w:p>
        </w:tc>
        <w:tc>
          <w:tcPr>
            <w:tcW w:w="1151"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151"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r>
              <w:rPr>
                <w:rFonts w:hint="eastAsia" w:ascii="宋体" w:hAnsi="宋体" w:cs="宋体"/>
                <w:sz w:val="20"/>
                <w:szCs w:val="20"/>
              </w:rPr>
              <w:t>24.14</w:t>
            </w:r>
          </w:p>
        </w:tc>
        <w:tc>
          <w:tcPr>
            <w:tcW w:w="1151"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151" w:type="dxa"/>
            <w:tcBorders>
              <w:top w:val="single" w:color="000000" w:sz="4" w:space="0"/>
              <w:left w:val="single" w:color="000000" w:sz="4" w:space="0"/>
              <w:bottom w:val="single" w:color="000000" w:sz="8" w:space="0"/>
              <w:right w:val="nil"/>
            </w:tcBorders>
            <w:tcMar>
              <w:top w:w="15" w:type="dxa"/>
              <w:left w:w="15" w:type="dxa"/>
              <w:right w:w="15" w:type="dxa"/>
            </w:tcMar>
            <w:vAlign w:val="center"/>
          </w:tcPr>
          <w:p>
            <w:pPr>
              <w:rPr>
                <w:rFonts w:ascii="宋体" w:hAnsi="宋体" w:cs="宋体"/>
                <w:sz w:val="20"/>
                <w:szCs w:val="20"/>
              </w:rPr>
            </w:pPr>
            <w:r>
              <w:rPr>
                <w:rFonts w:hint="eastAsia" w:ascii="宋体" w:hAnsi="宋体" w:cs="宋体"/>
                <w:sz w:val="20"/>
                <w:szCs w:val="20"/>
              </w:rPr>
              <w:t>24.14</w:t>
            </w:r>
          </w:p>
        </w:tc>
        <w:tc>
          <w:tcPr>
            <w:tcW w:w="1151" w:type="dxa"/>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900" w:hRule="atLeast"/>
        </w:trPr>
        <w:tc>
          <w:tcPr>
            <w:tcW w:w="13807" w:type="dxa"/>
            <w:gridSpan w:val="12"/>
            <w:tcBorders>
              <w:top w:val="single" w:color="000000" w:sz="8" w:space="0"/>
              <w:left w:val="nil"/>
              <w:bottom w:val="nil"/>
              <w:right w:val="nil"/>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注：本表反映部门本年度“三公”经费支出预决算情况。其中，</w:t>
            </w:r>
            <w:r>
              <w:rPr>
                <w:rStyle w:val="11"/>
                <w:rFonts w:hint="default"/>
                <w:color w:val="auto"/>
                <w:sz w:val="20"/>
                <w:szCs w:val="20"/>
              </w:rPr>
              <w:t>预算数为“三公”经费</w:t>
            </w:r>
            <w:r>
              <w:rPr>
                <w:rStyle w:val="11"/>
                <w:color w:val="auto"/>
                <w:sz w:val="20"/>
                <w:szCs w:val="20"/>
              </w:rPr>
              <w:t>为全年预算数，反映按规定程序调整后的</w:t>
            </w:r>
            <w:r>
              <w:rPr>
                <w:rStyle w:val="11"/>
                <w:rFonts w:hint="default"/>
                <w:color w:val="auto"/>
                <w:sz w:val="20"/>
                <w:szCs w:val="20"/>
              </w:rPr>
              <w:t>预算数</w:t>
            </w:r>
            <w:r>
              <w:rPr>
                <w:rStyle w:val="11"/>
                <w:color w:val="auto"/>
                <w:sz w:val="20"/>
                <w:szCs w:val="20"/>
              </w:rPr>
              <w:t>；</w:t>
            </w:r>
            <w:r>
              <w:rPr>
                <w:rStyle w:val="11"/>
                <w:rFonts w:hint="default"/>
                <w:color w:val="auto"/>
                <w:sz w:val="20"/>
                <w:szCs w:val="20"/>
              </w:rPr>
              <w:t>决算数是包括当年一般公共预算财政拨款和以前年度结转资金安排的实际支出。</w:t>
            </w:r>
            <w:r>
              <w:rPr>
                <w:rFonts w:hint="eastAsia" w:ascii="宋体" w:hAnsi="宋体" w:cs="宋体"/>
                <w:kern w:val="0"/>
                <w:sz w:val="20"/>
                <w:szCs w:val="20"/>
              </w:rPr>
              <w:t>本表金额转换为万元时，因四舍五入可能存在尾差。</w:t>
            </w:r>
          </w:p>
        </w:tc>
      </w:tr>
    </w:tbl>
    <w:p>
      <w:pPr>
        <w:rPr>
          <w:rFonts w:ascii="仿宋_GB2312" w:hAnsi="仿宋_GB2312" w:eastAsia="仿宋_GB2312" w:cs="仿宋_GB2312"/>
          <w:sz w:val="32"/>
          <w:szCs w:val="32"/>
        </w:rPr>
        <w:sectPr>
          <w:pgSz w:w="16838" w:h="11906" w:orient="landscape"/>
          <w:pgMar w:top="2098" w:right="1474" w:bottom="1984" w:left="1587" w:header="720" w:footer="720" w:gutter="0"/>
          <w:pgNumType w:fmt="numberInDash"/>
          <w:cols w:space="720" w:num="1"/>
          <w:docGrid w:type="lines" w:linePitch="312" w:charSpace="0"/>
        </w:sectPr>
      </w:pPr>
    </w:p>
    <w:tbl>
      <w:tblPr>
        <w:tblStyle w:val="5"/>
        <w:tblW w:w="13988" w:type="dxa"/>
        <w:tblInd w:w="0" w:type="dxa"/>
        <w:tblLayout w:type="fixed"/>
        <w:tblCellMar>
          <w:top w:w="0" w:type="dxa"/>
          <w:left w:w="0" w:type="dxa"/>
          <w:bottom w:w="0" w:type="dxa"/>
          <w:right w:w="0" w:type="dxa"/>
        </w:tblCellMar>
      </w:tblPr>
      <w:tblGrid>
        <w:gridCol w:w="612"/>
        <w:gridCol w:w="536"/>
        <w:gridCol w:w="1276"/>
        <w:gridCol w:w="1926"/>
        <w:gridCol w:w="1926"/>
        <w:gridCol w:w="1926"/>
        <w:gridCol w:w="1927"/>
        <w:gridCol w:w="1926"/>
        <w:gridCol w:w="1933"/>
      </w:tblGrid>
      <w:tr>
        <w:tblPrEx>
          <w:tblCellMar>
            <w:top w:w="0" w:type="dxa"/>
            <w:left w:w="0" w:type="dxa"/>
            <w:bottom w:w="0" w:type="dxa"/>
            <w:right w:w="0" w:type="dxa"/>
          </w:tblCellMar>
        </w:tblPrEx>
        <w:trPr>
          <w:trHeight w:val="600" w:hRule="atLeast"/>
        </w:trPr>
        <w:tc>
          <w:tcPr>
            <w:tcW w:w="13988" w:type="dxa"/>
            <w:gridSpan w:val="9"/>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华文中宋" w:hAnsi="华文中宋" w:eastAsia="华文中宋" w:cs="华文中宋"/>
                <w:sz w:val="32"/>
                <w:szCs w:val="32"/>
              </w:rPr>
            </w:pPr>
            <w:r>
              <w:rPr>
                <w:rFonts w:hint="eastAsia" w:ascii="黑体" w:hAnsi="黑体" w:eastAsia="黑体" w:cs="黑体"/>
                <w:kern w:val="0"/>
                <w:sz w:val="36"/>
                <w:szCs w:val="36"/>
              </w:rPr>
              <w:t>政府性基金预算财政拨款收入支出决算表</w:t>
            </w:r>
          </w:p>
        </w:tc>
      </w:tr>
      <w:tr>
        <w:tblPrEx>
          <w:tblCellMar>
            <w:top w:w="0" w:type="dxa"/>
            <w:left w:w="0" w:type="dxa"/>
            <w:bottom w:w="0" w:type="dxa"/>
            <w:right w:w="0" w:type="dxa"/>
          </w:tblCellMar>
        </w:tblPrEx>
        <w:trPr>
          <w:trHeight w:val="222" w:hRule="atLeast"/>
        </w:trPr>
        <w:tc>
          <w:tcPr>
            <w:tcW w:w="612" w:type="dxa"/>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536" w:type="dxa"/>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276" w:type="dxa"/>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7"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33" w:type="dxa"/>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公开08表</w:t>
            </w:r>
          </w:p>
        </w:tc>
      </w:tr>
      <w:tr>
        <w:tblPrEx>
          <w:tblCellMar>
            <w:top w:w="0" w:type="dxa"/>
            <w:left w:w="0" w:type="dxa"/>
            <w:bottom w:w="0" w:type="dxa"/>
            <w:right w:w="0" w:type="dxa"/>
          </w:tblCellMar>
        </w:tblPrEx>
        <w:trPr>
          <w:trHeight w:val="300" w:hRule="atLeast"/>
        </w:trPr>
        <w:tc>
          <w:tcPr>
            <w:tcW w:w="4350" w:type="dxa"/>
            <w:gridSpan w:val="4"/>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r>
              <w:rPr>
                <w:rFonts w:hint="eastAsia" w:ascii="宋体" w:hAnsi="宋体" w:cs="宋体"/>
                <w:kern w:val="0"/>
                <w:sz w:val="20"/>
                <w:szCs w:val="20"/>
              </w:rPr>
              <w:t>部门：焦作市马村区人民检察院</w:t>
            </w:r>
          </w:p>
        </w:tc>
        <w:tc>
          <w:tcPr>
            <w:tcW w:w="1926"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7"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33" w:type="dxa"/>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单位：万元</w:t>
            </w:r>
          </w:p>
        </w:tc>
      </w:tr>
      <w:tr>
        <w:tblPrEx>
          <w:tblCellMar>
            <w:top w:w="0" w:type="dxa"/>
            <w:left w:w="0" w:type="dxa"/>
            <w:bottom w:w="0" w:type="dxa"/>
            <w:right w:w="0" w:type="dxa"/>
          </w:tblCellMar>
        </w:tblPrEx>
        <w:trPr>
          <w:trHeight w:val="405" w:hRule="atLeast"/>
        </w:trPr>
        <w:tc>
          <w:tcPr>
            <w:tcW w:w="2424" w:type="dxa"/>
            <w:gridSpan w:val="3"/>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项    目</w:t>
            </w:r>
          </w:p>
        </w:tc>
        <w:tc>
          <w:tcPr>
            <w:tcW w:w="1926" w:type="dxa"/>
            <w:vMerge w:val="restart"/>
            <w:tcBorders>
              <w:top w:val="single" w:color="000000" w:sz="8"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年初结转和结余</w:t>
            </w:r>
          </w:p>
        </w:tc>
        <w:tc>
          <w:tcPr>
            <w:tcW w:w="1926" w:type="dxa"/>
            <w:vMerge w:val="restart"/>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本年收入</w:t>
            </w:r>
          </w:p>
        </w:tc>
        <w:tc>
          <w:tcPr>
            <w:tcW w:w="5779" w:type="dxa"/>
            <w:gridSpan w:val="3"/>
            <w:tcBorders>
              <w:top w:val="single" w:color="000000" w:sz="8"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本年支出</w:t>
            </w:r>
          </w:p>
        </w:tc>
        <w:tc>
          <w:tcPr>
            <w:tcW w:w="1933" w:type="dxa"/>
            <w:vMerge w:val="restart"/>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年末结转和结余</w:t>
            </w:r>
          </w:p>
        </w:tc>
      </w:tr>
      <w:tr>
        <w:tblPrEx>
          <w:tblCellMar>
            <w:top w:w="0" w:type="dxa"/>
            <w:left w:w="0" w:type="dxa"/>
            <w:bottom w:w="0" w:type="dxa"/>
            <w:right w:w="0" w:type="dxa"/>
          </w:tblCellMar>
        </w:tblPrEx>
        <w:trPr>
          <w:trHeight w:val="540" w:hRule="atLeast"/>
        </w:trPr>
        <w:tc>
          <w:tcPr>
            <w:tcW w:w="1148" w:type="dxa"/>
            <w:gridSpan w:val="2"/>
            <w:vMerge w:val="restar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功能分类</w:t>
            </w:r>
          </w:p>
          <w:p>
            <w:pPr>
              <w:widowControl/>
              <w:jc w:val="center"/>
              <w:textAlignment w:val="center"/>
              <w:rPr>
                <w:rFonts w:ascii="宋体" w:hAnsi="宋体" w:cs="宋体"/>
                <w:sz w:val="20"/>
                <w:szCs w:val="20"/>
              </w:rPr>
            </w:pPr>
            <w:r>
              <w:rPr>
                <w:rFonts w:hint="eastAsia" w:ascii="宋体" w:hAnsi="宋体" w:cs="宋体"/>
                <w:kern w:val="0"/>
                <w:sz w:val="20"/>
                <w:szCs w:val="20"/>
              </w:rPr>
              <w:t>科目编码</w:t>
            </w:r>
          </w:p>
        </w:tc>
        <w:tc>
          <w:tcPr>
            <w:tcW w:w="127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科目名称</w:t>
            </w:r>
          </w:p>
        </w:tc>
        <w:tc>
          <w:tcPr>
            <w:tcW w:w="1926"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小计</w:t>
            </w:r>
          </w:p>
        </w:tc>
        <w:tc>
          <w:tcPr>
            <w:tcW w:w="1927"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基本支出</w:t>
            </w:r>
          </w:p>
        </w:tc>
        <w:tc>
          <w:tcPr>
            <w:tcW w:w="1926" w:type="dxa"/>
            <w:vMerge w:val="restart"/>
            <w:tcBorders>
              <w:top w:val="nil"/>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项目支出</w:t>
            </w:r>
          </w:p>
        </w:tc>
        <w:tc>
          <w:tcPr>
            <w:tcW w:w="1933"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360" w:hRule="atLeast"/>
        </w:trPr>
        <w:tc>
          <w:tcPr>
            <w:tcW w:w="1148" w:type="dxa"/>
            <w:gridSpan w:val="2"/>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7"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33"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7"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33"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2424" w:type="dxa"/>
            <w:gridSpan w:val="3"/>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栏次</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w:t>
            </w: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w:t>
            </w:r>
          </w:p>
        </w:tc>
      </w:tr>
      <w:tr>
        <w:tblPrEx>
          <w:tblCellMar>
            <w:top w:w="0" w:type="dxa"/>
            <w:left w:w="0" w:type="dxa"/>
            <w:bottom w:w="0" w:type="dxa"/>
            <w:right w:w="0" w:type="dxa"/>
          </w:tblCellMar>
        </w:tblPrEx>
        <w:trPr>
          <w:trHeight w:val="450" w:hRule="atLeast"/>
        </w:trPr>
        <w:tc>
          <w:tcPr>
            <w:tcW w:w="2424" w:type="dxa"/>
            <w:gridSpan w:val="3"/>
            <w:tcBorders>
              <w:top w:val="nil"/>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合计</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645" w:hRule="atLeast"/>
        </w:trPr>
        <w:tc>
          <w:tcPr>
            <w:tcW w:w="13988" w:type="dxa"/>
            <w:gridSpan w:val="9"/>
            <w:tcBorders>
              <w:top w:val="single" w:color="000000" w:sz="8" w:space="0"/>
              <w:left w:val="nil"/>
              <w:bottom w:val="nil"/>
              <w:right w:val="nil"/>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注：本表反映部门本年度政府性基金预算财政拨款收入、支出及结转和结余情况。</w:t>
            </w:r>
          </w:p>
        </w:tc>
      </w:tr>
    </w:tbl>
    <w:p>
      <w:pPr>
        <w:rPr>
          <w:rFonts w:ascii="仿宋_GB2312" w:hAnsi="仿宋_GB2312" w:eastAsia="仿宋_GB2312" w:cs="仿宋_GB2312"/>
          <w:sz w:val="32"/>
          <w:szCs w:val="32"/>
        </w:rPr>
      </w:pPr>
      <w:r>
        <w:rPr>
          <w:rFonts w:hint="eastAsia" w:ascii="仿宋_GB2312" w:hAnsi="仿宋_GB2312" w:eastAsia="仿宋_GB2312" w:cs="仿宋_GB2312"/>
          <w:sz w:val="32"/>
          <w:szCs w:val="32"/>
        </w:rPr>
        <w:t>说明：我部门没有政府性基金收入，也没有使用政府性基金安排的支出，故本表无数据。</w:t>
      </w:r>
    </w:p>
    <w:tbl>
      <w:tblPr>
        <w:tblStyle w:val="5"/>
        <w:tblW w:w="13988" w:type="dxa"/>
        <w:tblInd w:w="0" w:type="dxa"/>
        <w:tblLayout w:type="fixed"/>
        <w:tblCellMar>
          <w:top w:w="0" w:type="dxa"/>
          <w:left w:w="0" w:type="dxa"/>
          <w:bottom w:w="0" w:type="dxa"/>
          <w:right w:w="0" w:type="dxa"/>
        </w:tblCellMar>
      </w:tblPr>
      <w:tblGrid>
        <w:gridCol w:w="612"/>
        <w:gridCol w:w="536"/>
        <w:gridCol w:w="1276"/>
        <w:gridCol w:w="1926"/>
        <w:gridCol w:w="1926"/>
        <w:gridCol w:w="1926"/>
        <w:gridCol w:w="1927"/>
        <w:gridCol w:w="1926"/>
        <w:gridCol w:w="1933"/>
      </w:tblGrid>
      <w:tr>
        <w:tblPrEx>
          <w:tblCellMar>
            <w:top w:w="0" w:type="dxa"/>
            <w:left w:w="0" w:type="dxa"/>
            <w:bottom w:w="0" w:type="dxa"/>
            <w:right w:w="0" w:type="dxa"/>
          </w:tblCellMar>
        </w:tblPrEx>
        <w:trPr>
          <w:trHeight w:val="600" w:hRule="atLeast"/>
        </w:trPr>
        <w:tc>
          <w:tcPr>
            <w:tcW w:w="13988" w:type="dxa"/>
            <w:gridSpan w:val="9"/>
            <w:tcBorders>
              <w:top w:val="nil"/>
              <w:left w:val="nil"/>
              <w:bottom w:val="nil"/>
              <w:right w:val="nil"/>
            </w:tcBorders>
            <w:shd w:val="clear" w:color="auto" w:fill="FFFFFF"/>
            <w:tcMar>
              <w:top w:w="15" w:type="dxa"/>
              <w:left w:w="15" w:type="dxa"/>
              <w:right w:w="15" w:type="dxa"/>
            </w:tcMar>
            <w:vAlign w:val="center"/>
          </w:tcPr>
          <w:p>
            <w:pPr>
              <w:widowControl/>
              <w:jc w:val="center"/>
              <w:textAlignment w:val="center"/>
              <w:rPr>
                <w:rFonts w:ascii="华文中宋" w:hAnsi="华文中宋" w:eastAsia="华文中宋" w:cs="华文中宋"/>
                <w:sz w:val="32"/>
                <w:szCs w:val="32"/>
              </w:rPr>
            </w:pPr>
            <w:r>
              <w:rPr>
                <w:rFonts w:hint="eastAsia" w:ascii="黑体" w:hAnsi="黑体" w:eastAsia="黑体" w:cs="黑体"/>
                <w:kern w:val="0"/>
                <w:sz w:val="36"/>
                <w:szCs w:val="36"/>
              </w:rPr>
              <w:t>国有资本经营预算财政拨款收入支出决算表</w:t>
            </w:r>
          </w:p>
        </w:tc>
      </w:tr>
      <w:tr>
        <w:tblPrEx>
          <w:tblCellMar>
            <w:top w:w="0" w:type="dxa"/>
            <w:left w:w="0" w:type="dxa"/>
            <w:bottom w:w="0" w:type="dxa"/>
            <w:right w:w="0" w:type="dxa"/>
          </w:tblCellMar>
        </w:tblPrEx>
        <w:trPr>
          <w:trHeight w:val="222" w:hRule="atLeast"/>
        </w:trPr>
        <w:tc>
          <w:tcPr>
            <w:tcW w:w="612" w:type="dxa"/>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536" w:type="dxa"/>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276" w:type="dxa"/>
            <w:tcBorders>
              <w:top w:val="nil"/>
              <w:left w:val="nil"/>
              <w:bottom w:val="nil"/>
              <w:right w:val="nil"/>
            </w:tcBorders>
            <w:shd w:val="clear" w:color="auto" w:fill="FFFFFF"/>
            <w:tcMar>
              <w:top w:w="15" w:type="dxa"/>
              <w:left w:w="15" w:type="dxa"/>
              <w:right w:w="15" w:type="dxa"/>
            </w:tcMar>
            <w:vAlign w:val="center"/>
          </w:tcPr>
          <w:p>
            <w:pPr>
              <w:jc w:val="cente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7"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33" w:type="dxa"/>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公开09表</w:t>
            </w:r>
          </w:p>
        </w:tc>
      </w:tr>
      <w:tr>
        <w:tblPrEx>
          <w:tblCellMar>
            <w:top w:w="0" w:type="dxa"/>
            <w:left w:w="0" w:type="dxa"/>
            <w:bottom w:w="0" w:type="dxa"/>
            <w:right w:w="0" w:type="dxa"/>
          </w:tblCellMar>
        </w:tblPrEx>
        <w:trPr>
          <w:trHeight w:val="300" w:hRule="atLeast"/>
        </w:trPr>
        <w:tc>
          <w:tcPr>
            <w:tcW w:w="4350" w:type="dxa"/>
            <w:gridSpan w:val="4"/>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r>
              <w:rPr>
                <w:rFonts w:hint="eastAsia" w:ascii="宋体" w:hAnsi="宋体" w:cs="宋体"/>
                <w:kern w:val="0"/>
                <w:sz w:val="20"/>
                <w:szCs w:val="20"/>
              </w:rPr>
              <w:t>部门：焦作市马村区人民检察院</w:t>
            </w:r>
          </w:p>
        </w:tc>
        <w:tc>
          <w:tcPr>
            <w:tcW w:w="1926"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7" w:type="dxa"/>
            <w:tcBorders>
              <w:top w:val="nil"/>
              <w:left w:val="nil"/>
              <w:bottom w:val="single" w:color="000000" w:sz="8" w:space="0"/>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26" w:type="dxa"/>
            <w:tcBorders>
              <w:top w:val="nil"/>
              <w:left w:val="nil"/>
              <w:bottom w:val="nil"/>
              <w:right w:val="nil"/>
            </w:tcBorders>
            <w:shd w:val="clear" w:color="auto" w:fill="FFFFFF"/>
            <w:tcMar>
              <w:top w:w="15" w:type="dxa"/>
              <w:left w:w="15" w:type="dxa"/>
              <w:right w:w="15" w:type="dxa"/>
            </w:tcMar>
            <w:vAlign w:val="center"/>
          </w:tcPr>
          <w:p>
            <w:pPr>
              <w:rPr>
                <w:rFonts w:ascii="宋体" w:hAnsi="宋体" w:cs="宋体"/>
                <w:sz w:val="20"/>
                <w:szCs w:val="20"/>
              </w:rPr>
            </w:pPr>
          </w:p>
        </w:tc>
        <w:tc>
          <w:tcPr>
            <w:tcW w:w="1933" w:type="dxa"/>
            <w:tcBorders>
              <w:top w:val="nil"/>
              <w:left w:val="nil"/>
              <w:bottom w:val="nil"/>
              <w:right w:val="nil"/>
            </w:tcBorders>
            <w:shd w:val="clear" w:color="auto" w:fill="FFFFFF"/>
            <w:tcMar>
              <w:top w:w="15" w:type="dxa"/>
              <w:left w:w="15" w:type="dxa"/>
              <w:right w:w="15" w:type="dxa"/>
            </w:tcMar>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单位：万元</w:t>
            </w:r>
          </w:p>
        </w:tc>
      </w:tr>
      <w:tr>
        <w:tblPrEx>
          <w:tblCellMar>
            <w:top w:w="0" w:type="dxa"/>
            <w:left w:w="0" w:type="dxa"/>
            <w:bottom w:w="0" w:type="dxa"/>
            <w:right w:w="0" w:type="dxa"/>
          </w:tblCellMar>
        </w:tblPrEx>
        <w:trPr>
          <w:trHeight w:val="405" w:hRule="atLeast"/>
        </w:trPr>
        <w:tc>
          <w:tcPr>
            <w:tcW w:w="2424" w:type="dxa"/>
            <w:gridSpan w:val="3"/>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项    目</w:t>
            </w:r>
          </w:p>
        </w:tc>
        <w:tc>
          <w:tcPr>
            <w:tcW w:w="1926" w:type="dxa"/>
            <w:vMerge w:val="restart"/>
            <w:tcBorders>
              <w:top w:val="single" w:color="000000" w:sz="8"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年初结转和结余</w:t>
            </w:r>
          </w:p>
        </w:tc>
        <w:tc>
          <w:tcPr>
            <w:tcW w:w="1926" w:type="dxa"/>
            <w:vMerge w:val="restart"/>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本年收入</w:t>
            </w:r>
          </w:p>
        </w:tc>
        <w:tc>
          <w:tcPr>
            <w:tcW w:w="5779" w:type="dxa"/>
            <w:gridSpan w:val="3"/>
            <w:tcBorders>
              <w:top w:val="single" w:color="000000" w:sz="8"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本年支出</w:t>
            </w:r>
          </w:p>
        </w:tc>
        <w:tc>
          <w:tcPr>
            <w:tcW w:w="1933" w:type="dxa"/>
            <w:vMerge w:val="restart"/>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年末结转和结余</w:t>
            </w:r>
          </w:p>
        </w:tc>
      </w:tr>
      <w:tr>
        <w:tblPrEx>
          <w:tblCellMar>
            <w:top w:w="0" w:type="dxa"/>
            <w:left w:w="0" w:type="dxa"/>
            <w:bottom w:w="0" w:type="dxa"/>
            <w:right w:w="0" w:type="dxa"/>
          </w:tblCellMar>
        </w:tblPrEx>
        <w:trPr>
          <w:trHeight w:val="540" w:hRule="atLeast"/>
        </w:trPr>
        <w:tc>
          <w:tcPr>
            <w:tcW w:w="1148" w:type="dxa"/>
            <w:gridSpan w:val="2"/>
            <w:vMerge w:val="restart"/>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功能分类</w:t>
            </w:r>
          </w:p>
          <w:p>
            <w:pPr>
              <w:widowControl/>
              <w:jc w:val="center"/>
              <w:textAlignment w:val="center"/>
              <w:rPr>
                <w:rFonts w:ascii="宋体" w:hAnsi="宋体" w:cs="宋体"/>
                <w:sz w:val="20"/>
                <w:szCs w:val="20"/>
              </w:rPr>
            </w:pPr>
            <w:r>
              <w:rPr>
                <w:rFonts w:hint="eastAsia" w:ascii="宋体" w:hAnsi="宋体" w:cs="宋体"/>
                <w:kern w:val="0"/>
                <w:sz w:val="20"/>
                <w:szCs w:val="20"/>
              </w:rPr>
              <w:t>科目编码</w:t>
            </w:r>
          </w:p>
        </w:tc>
        <w:tc>
          <w:tcPr>
            <w:tcW w:w="127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科目名称</w:t>
            </w:r>
          </w:p>
        </w:tc>
        <w:tc>
          <w:tcPr>
            <w:tcW w:w="1926"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小计</w:t>
            </w:r>
          </w:p>
        </w:tc>
        <w:tc>
          <w:tcPr>
            <w:tcW w:w="1927"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基本支出</w:t>
            </w:r>
          </w:p>
        </w:tc>
        <w:tc>
          <w:tcPr>
            <w:tcW w:w="1926" w:type="dxa"/>
            <w:vMerge w:val="restart"/>
            <w:tcBorders>
              <w:top w:val="nil"/>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项目支出</w:t>
            </w:r>
          </w:p>
        </w:tc>
        <w:tc>
          <w:tcPr>
            <w:tcW w:w="1933"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360" w:hRule="atLeast"/>
        </w:trPr>
        <w:tc>
          <w:tcPr>
            <w:tcW w:w="1148" w:type="dxa"/>
            <w:gridSpan w:val="2"/>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7"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33"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vMerge w:val="continue"/>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7"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vMerge w:val="continue"/>
            <w:tcBorders>
              <w:top w:val="nil"/>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33"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2424" w:type="dxa"/>
            <w:gridSpan w:val="3"/>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栏次</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w:t>
            </w: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w:t>
            </w:r>
          </w:p>
        </w:tc>
      </w:tr>
      <w:tr>
        <w:tblPrEx>
          <w:tblCellMar>
            <w:top w:w="0" w:type="dxa"/>
            <w:left w:w="0" w:type="dxa"/>
            <w:bottom w:w="0" w:type="dxa"/>
            <w:right w:w="0" w:type="dxa"/>
          </w:tblCellMar>
        </w:tblPrEx>
        <w:trPr>
          <w:trHeight w:val="450" w:hRule="atLeast"/>
        </w:trPr>
        <w:tc>
          <w:tcPr>
            <w:tcW w:w="2424" w:type="dxa"/>
            <w:gridSpan w:val="3"/>
            <w:tcBorders>
              <w:top w:val="nil"/>
              <w:left w:val="single" w:color="000000" w:sz="8"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合计</w:t>
            </w: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jc w:val="cente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jc w:val="cente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450" w:hRule="atLeast"/>
        </w:trPr>
        <w:tc>
          <w:tcPr>
            <w:tcW w:w="1148" w:type="dxa"/>
            <w:gridSpan w:val="2"/>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jc w:val="center"/>
              <w:rPr>
                <w:rFonts w:ascii="宋体" w:hAnsi="宋体" w:cs="宋体"/>
                <w:sz w:val="20"/>
                <w:szCs w:val="20"/>
              </w:rPr>
            </w:pPr>
          </w:p>
        </w:tc>
        <w:tc>
          <w:tcPr>
            <w:tcW w:w="127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7"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rPr>
                <w:rFonts w:ascii="宋体" w:hAnsi="宋体" w:cs="宋体"/>
                <w:sz w:val="20"/>
                <w:szCs w:val="20"/>
              </w:rPr>
            </w:pPr>
          </w:p>
        </w:tc>
        <w:tc>
          <w:tcPr>
            <w:tcW w:w="1926" w:type="dxa"/>
            <w:tcBorders>
              <w:top w:val="single" w:color="000000" w:sz="4" w:space="0"/>
              <w:left w:val="single" w:color="000000" w:sz="4" w:space="0"/>
              <w:bottom w:val="single" w:color="000000" w:sz="8" w:space="0"/>
              <w:right w:val="nil"/>
            </w:tcBorders>
            <w:tcMar>
              <w:top w:w="15" w:type="dxa"/>
              <w:left w:w="15" w:type="dxa"/>
              <w:right w:w="15" w:type="dxa"/>
            </w:tcMar>
            <w:vAlign w:val="center"/>
          </w:tcPr>
          <w:p>
            <w:pPr>
              <w:rPr>
                <w:rFonts w:ascii="宋体" w:hAnsi="宋体" w:cs="宋体"/>
                <w:sz w:val="20"/>
                <w:szCs w:val="20"/>
              </w:rPr>
            </w:pPr>
          </w:p>
        </w:tc>
        <w:tc>
          <w:tcPr>
            <w:tcW w:w="1933" w:type="dxa"/>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rPr>
                <w:rFonts w:ascii="宋体" w:hAnsi="宋体" w:cs="宋体"/>
                <w:sz w:val="20"/>
                <w:szCs w:val="20"/>
              </w:rPr>
            </w:pPr>
          </w:p>
        </w:tc>
      </w:tr>
      <w:tr>
        <w:tblPrEx>
          <w:tblCellMar>
            <w:top w:w="0" w:type="dxa"/>
            <w:left w:w="0" w:type="dxa"/>
            <w:bottom w:w="0" w:type="dxa"/>
            <w:right w:w="0" w:type="dxa"/>
          </w:tblCellMar>
        </w:tblPrEx>
        <w:trPr>
          <w:trHeight w:val="645" w:hRule="atLeast"/>
        </w:trPr>
        <w:tc>
          <w:tcPr>
            <w:tcW w:w="13988" w:type="dxa"/>
            <w:gridSpan w:val="9"/>
            <w:tcBorders>
              <w:top w:val="single" w:color="000000" w:sz="8" w:space="0"/>
              <w:left w:val="nil"/>
              <w:bottom w:val="nil"/>
              <w:right w:val="nil"/>
            </w:tcBorders>
            <w:tcMar>
              <w:top w:w="15" w:type="dxa"/>
              <w:left w:w="15" w:type="dxa"/>
              <w:right w:w="15" w:type="dxa"/>
            </w:tcMar>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注：本表反映部门本年度国有资本经营预算财政拨款收入、支出及结转和结余情况。</w:t>
            </w:r>
          </w:p>
        </w:tc>
      </w:tr>
    </w:tbl>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说明：我部门没有资本经营收入，也没有使用国有资本经营安排的支出，故本表无数据。</w:t>
      </w:r>
    </w:p>
    <w:p>
      <w:pPr>
        <w:jc w:val="center"/>
        <w:rPr>
          <w:rFonts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jc w:val="center"/>
        <w:outlineLvl w:val="0"/>
        <w:rPr>
          <w:rFonts w:ascii="黑体" w:hAnsi="黑体" w:eastAsia="黑体" w:cs="黑体"/>
          <w:sz w:val="48"/>
          <w:szCs w:val="48"/>
        </w:rPr>
      </w:pPr>
      <w:r>
        <w:rPr>
          <w:rFonts w:hint="eastAsia" w:ascii="黑体" w:hAnsi="黑体" w:eastAsia="黑体" w:cs="黑体"/>
          <w:sz w:val="48"/>
          <w:szCs w:val="48"/>
        </w:rPr>
        <w:t>第三部分  2020年度部门决算情况说明</w:t>
      </w:r>
    </w:p>
    <w:p>
      <w:pPr>
        <w:widowControl/>
        <w:jc w:val="left"/>
        <w:rPr>
          <w:rFonts w:ascii="黑体" w:hAnsi="黑体" w:eastAsia="黑体" w:cs="黑体"/>
          <w:sz w:val="48"/>
          <w:szCs w:val="48"/>
        </w:rPr>
        <w:sectPr>
          <w:pgSz w:w="11906" w:h="16838"/>
          <w:pgMar w:top="1440" w:right="1800" w:bottom="1440" w:left="1800" w:header="720" w:footer="720" w:gutter="0"/>
          <w:pgNumType w:fmt="numberInDash"/>
          <w:cols w:space="720" w:num="1"/>
          <w:docGrid w:type="lines" w:linePitch="312" w:charSpace="0"/>
        </w:sectPr>
      </w:pP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一、收入支出决算总体情况说明</w:t>
      </w:r>
    </w:p>
    <w:p>
      <w:pPr>
        <w:widowControl/>
        <w:spacing w:line="59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2020年度收、支总计均为1343.53万元。与上年度相比，收、支总计各增加244.66万元，增长22.26%。主要原因是发放往年三类人员绩效、国家赔偿款、后楼墙体改造、远程庭审室等院内工程项目。</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二、收入决算情况说明</w:t>
      </w:r>
    </w:p>
    <w:p>
      <w:pPr>
        <w:widowControl/>
        <w:spacing w:line="590" w:lineRule="exact"/>
        <w:ind w:firstLine="640" w:firstLineChars="200"/>
        <w:rPr>
          <w:rFonts w:ascii="黑体" w:hAnsi="黑体" w:eastAsia="仿宋_GB2312" w:cs="黑体"/>
          <w:sz w:val="32"/>
          <w:szCs w:val="32"/>
        </w:rPr>
      </w:pPr>
      <w:r>
        <w:rPr>
          <w:rFonts w:hint="eastAsia" w:ascii="仿宋_GB2312" w:hAnsi="仿宋_GB2312" w:eastAsia="仿宋_GB2312" w:cs="仿宋_GB2312"/>
          <w:sz w:val="32"/>
          <w:szCs w:val="32"/>
        </w:rPr>
        <w:t>2020年度收入合计1119.19万元，其中：财政拨款收入1119.19万元，占100%。</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三、支出决算情况说明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2020年度支出合计1301.28万元，其中：基本支出849.59万元，占65.29%；项目支出451.7万元，占34.71%。</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四、财政拨款收入支出决算总体情况说明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2020年度财政拨款收、支总计均为1340.53万元。与上年度相比，财政拨款收、支总计各增加244.66万元，增长22.33%。主要原因是发放往年三类人员绩效、国家赔偿款、后楼墙体改造、远程庭审室等院内工程项目。</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五、一般公共预算财政拨款支出决算情况说明</w:t>
      </w:r>
    </w:p>
    <w:p>
      <w:pPr>
        <w:widowControl/>
        <w:spacing w:line="59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（一）总体情况。</w:t>
      </w:r>
    </w:p>
    <w:p>
      <w:pPr>
        <w:widowControl/>
        <w:spacing w:line="59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2020年度一般公共预算财政拨款支出1298.28万元，占本年支出合计的99.77%。与上年度相比，一般公共预算财政拨款支出增加254.95万元，增长24.44%。主要原因是发放往年三类人员绩效、国家赔偿款、后楼墙体改造、远程庭审室等院内工程项目。</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p>
    <w:p>
      <w:pPr>
        <w:widowControl/>
        <w:spacing w:line="59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（二）结构情况。</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2020年度一般公共预算财政拨款支出1298.28万元，主要用于以下方面：</w:t>
      </w:r>
      <w:r>
        <w:rPr>
          <w:rFonts w:hint="eastAsia" w:ascii="仿宋_GB2312" w:hAnsi="仿宋_GB2312" w:eastAsia="仿宋_GB2312" w:cs="仿宋_GB2312"/>
          <w:b/>
          <w:bCs/>
          <w:sz w:val="32"/>
          <w:szCs w:val="32"/>
        </w:rPr>
        <w:t>公共安全（类）</w:t>
      </w:r>
      <w:r>
        <w:rPr>
          <w:rFonts w:hint="eastAsia" w:ascii="仿宋_GB2312" w:hAnsi="仿宋_GB2312" w:eastAsia="仿宋_GB2312" w:cs="仿宋_GB2312"/>
          <w:sz w:val="32"/>
          <w:szCs w:val="32"/>
        </w:rPr>
        <w:t>支出1167.59万元，占89.93%；</w:t>
      </w:r>
      <w:r>
        <w:rPr>
          <w:rFonts w:hint="eastAsia" w:ascii="仿宋_GB2312" w:hAnsi="仿宋_GB2312" w:eastAsia="仿宋_GB2312" w:cs="仿宋_GB2312"/>
          <w:b/>
          <w:bCs/>
          <w:sz w:val="32"/>
          <w:szCs w:val="32"/>
        </w:rPr>
        <w:t>社会保障和就业（类）</w:t>
      </w:r>
      <w:r>
        <w:rPr>
          <w:rFonts w:hint="eastAsia" w:ascii="仿宋_GB2312" w:hAnsi="宋体" w:eastAsia="仿宋_GB2312" w:cs="宋体"/>
          <w:kern w:val="0"/>
          <w:sz w:val="32"/>
          <w:szCs w:val="32"/>
        </w:rPr>
        <w:t>支出65.9万元，占5.08%；</w:t>
      </w:r>
      <w:r>
        <w:rPr>
          <w:rFonts w:hint="eastAsia" w:ascii="仿宋_GB2312" w:hAnsi="仿宋_GB2312" w:eastAsia="仿宋_GB2312" w:cs="仿宋_GB2312"/>
          <w:b/>
          <w:bCs/>
          <w:sz w:val="32"/>
          <w:szCs w:val="32"/>
        </w:rPr>
        <w:t>卫生健康</w:t>
      </w:r>
      <w:r>
        <w:rPr>
          <w:rFonts w:hint="eastAsia" w:ascii="仿宋_GB2312" w:hAnsi="宋体" w:eastAsia="仿宋_GB2312" w:cs="宋体"/>
          <w:kern w:val="0"/>
          <w:sz w:val="32"/>
          <w:szCs w:val="32"/>
        </w:rPr>
        <w:t>（类）支出26.16万元，占2.01%；</w:t>
      </w:r>
      <w:r>
        <w:rPr>
          <w:rFonts w:hint="eastAsia" w:ascii="仿宋_GB2312" w:hAnsi="仿宋_GB2312" w:eastAsia="仿宋_GB2312" w:cs="仿宋_GB2312"/>
          <w:b/>
          <w:bCs/>
          <w:sz w:val="32"/>
          <w:szCs w:val="32"/>
        </w:rPr>
        <w:t>住房保障（类）</w:t>
      </w:r>
      <w:r>
        <w:rPr>
          <w:rFonts w:hint="eastAsia" w:ascii="仿宋_GB2312" w:hAnsi="宋体" w:eastAsia="仿宋_GB2312" w:cs="宋体"/>
          <w:kern w:val="0"/>
          <w:sz w:val="32"/>
          <w:szCs w:val="32"/>
        </w:rPr>
        <w:t>支出38.63万元，占2.98%。</w:t>
      </w:r>
    </w:p>
    <w:p>
      <w:pPr>
        <w:widowControl/>
        <w:spacing w:line="59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（三）具体情况。</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2020年度一般公共预算财政拨款支出年初预算为1029.29万元，支出决算为1298.28万元，完成年初预算的126.13%。其中：</w:t>
      </w:r>
    </w:p>
    <w:p>
      <w:pPr>
        <w:widowControl/>
        <w:spacing w:line="59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宋体" w:eastAsia="仿宋_GB2312" w:cs="宋体"/>
          <w:b/>
          <w:kern w:val="0"/>
          <w:sz w:val="32"/>
          <w:szCs w:val="32"/>
        </w:rPr>
        <w:t>公共安全支出（类）检察（款）行政运行（项）</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年初预算为500.24万元，支出决算为715.89万元，完成年初预算的143.11%。决算数与年初预算数存在差异的主要原因是发放绩效。</w:t>
      </w:r>
    </w:p>
    <w:p>
      <w:pPr>
        <w:widowControl/>
        <w:spacing w:line="59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hint="eastAsia" w:ascii="仿宋_GB2312" w:hAnsi="宋体" w:eastAsia="仿宋_GB2312" w:cs="宋体"/>
          <w:b/>
          <w:kern w:val="0"/>
          <w:sz w:val="32"/>
          <w:szCs w:val="32"/>
        </w:rPr>
        <w:t>公共安全支出（类）检察（款）一般行政管理事务（项）</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年初预算为0万元，支出决算为25.47万元。决算数与年初预算数存在差异的主要原因是18年装备款、往年工作经费本年支出。</w:t>
      </w:r>
    </w:p>
    <w:p>
      <w:pPr>
        <w:widowControl/>
        <w:shd w:val="clear" w:color="auto" w:fill="FFFFFF"/>
        <w:snapToGrid w:val="0"/>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3．公共安全支出（类）检察（款）其他检察支出（项）。</w:t>
      </w:r>
      <w:r>
        <w:rPr>
          <w:rFonts w:hint="eastAsia" w:ascii="仿宋_GB2312" w:hAnsi="宋体" w:eastAsia="仿宋_GB2312" w:cs="宋体"/>
          <w:kern w:val="0"/>
          <w:sz w:val="32"/>
          <w:szCs w:val="32"/>
        </w:rPr>
        <w:t>年初预算为</w:t>
      </w:r>
      <w:r>
        <w:rPr>
          <w:rFonts w:hint="eastAsia" w:ascii="仿宋_GB2312" w:hAnsi="宋体" w:eastAsia="仿宋_GB2312" w:cs="宋体"/>
          <w:kern w:val="0"/>
          <w:sz w:val="30"/>
          <w:szCs w:val="30"/>
        </w:rPr>
        <w:t>411.4</w:t>
      </w:r>
      <w:r>
        <w:rPr>
          <w:rFonts w:hint="eastAsia" w:ascii="仿宋_GB2312" w:hAnsi="宋体" w:eastAsia="仿宋_GB2312" w:cs="宋体"/>
          <w:kern w:val="0"/>
          <w:sz w:val="32"/>
          <w:szCs w:val="32"/>
        </w:rPr>
        <w:t>万元，支出决算为426.22万元，完成年初预算的103.6%。决算数和年初预算数的主要原因是办案费的支出变化。</w:t>
      </w:r>
    </w:p>
    <w:p>
      <w:pPr>
        <w:widowControl/>
        <w:shd w:val="clear" w:color="auto" w:fill="FFFFFF"/>
        <w:snapToGrid w:val="0"/>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4.社会保障和就业支出（类） 行政事业单位养老支出（款）行政单位离退休（项）。</w:t>
      </w:r>
      <w:r>
        <w:rPr>
          <w:rFonts w:hint="eastAsia" w:ascii="仿宋_GB2312" w:hAnsi="宋体" w:eastAsia="仿宋_GB2312" w:cs="宋体"/>
          <w:kern w:val="0"/>
          <w:sz w:val="32"/>
          <w:szCs w:val="32"/>
        </w:rPr>
        <w:t>年初预算为</w:t>
      </w:r>
      <w:r>
        <w:rPr>
          <w:rFonts w:hint="eastAsia" w:ascii="仿宋_GB2312" w:hAnsi="宋体" w:eastAsia="仿宋_GB2312" w:cs="宋体"/>
          <w:kern w:val="0"/>
          <w:sz w:val="30"/>
          <w:szCs w:val="30"/>
        </w:rPr>
        <w:t>0</w:t>
      </w:r>
      <w:r>
        <w:rPr>
          <w:rFonts w:hint="eastAsia" w:ascii="仿宋_GB2312" w:hAnsi="宋体" w:eastAsia="仿宋_GB2312" w:cs="宋体"/>
          <w:kern w:val="0"/>
          <w:sz w:val="32"/>
          <w:szCs w:val="32"/>
        </w:rPr>
        <w:t>万元，支出决算为18.66元。决算数和年初预算数存在差异的主要原因是退休人员取暖费、健康费。</w:t>
      </w:r>
    </w:p>
    <w:p>
      <w:pPr>
        <w:widowControl/>
        <w:shd w:val="clear" w:color="auto" w:fill="FFFFFF"/>
        <w:snapToGrid w:val="0"/>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5.社会保障和就业支出（类） 行政事业单位养老支出（款）机关事业单位基本养老保险缴费支出（项）。</w:t>
      </w:r>
      <w:r>
        <w:rPr>
          <w:rFonts w:hint="eastAsia" w:ascii="仿宋_GB2312" w:hAnsi="宋体" w:eastAsia="仿宋_GB2312" w:cs="宋体"/>
          <w:kern w:val="0"/>
          <w:sz w:val="32"/>
          <w:szCs w:val="32"/>
        </w:rPr>
        <w:t>年初预算为</w:t>
      </w:r>
      <w:r>
        <w:rPr>
          <w:rFonts w:hint="eastAsia" w:ascii="仿宋_GB2312" w:hAnsi="宋体" w:eastAsia="仿宋_GB2312" w:cs="宋体"/>
          <w:kern w:val="0"/>
          <w:sz w:val="30"/>
          <w:szCs w:val="30"/>
        </w:rPr>
        <w:t>50.38</w:t>
      </w:r>
      <w:r>
        <w:rPr>
          <w:rFonts w:hint="eastAsia" w:ascii="仿宋_GB2312" w:hAnsi="宋体" w:eastAsia="仿宋_GB2312" w:cs="宋体"/>
          <w:kern w:val="0"/>
          <w:sz w:val="32"/>
          <w:szCs w:val="32"/>
        </w:rPr>
        <w:t>万元，支出决算为47.24万元，完成年初预算的93.77%。决算数和年初预算数存在差异的主要原因是人员变动，调整相应社保缴费。</w:t>
      </w:r>
    </w:p>
    <w:p>
      <w:pPr>
        <w:widowControl/>
        <w:shd w:val="clear" w:color="auto" w:fill="FFFFFF"/>
        <w:snapToGrid w:val="0"/>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6. 卫生健康支出（类）行政事业单位医疗（款）行政单位医疗（项）。</w:t>
      </w:r>
      <w:r>
        <w:rPr>
          <w:rFonts w:hint="eastAsia" w:ascii="仿宋_GB2312" w:hAnsi="宋体" w:eastAsia="仿宋_GB2312" w:cs="宋体"/>
          <w:kern w:val="0"/>
          <w:sz w:val="32"/>
          <w:szCs w:val="32"/>
        </w:rPr>
        <w:t>年初预算为25.54万元，支出决算为26.16万元，完成年初预算的102.43%。决算数和年初预算数存在差异的主要原因是人员变动，社保数调整及生育险并入医疗。</w:t>
      </w:r>
    </w:p>
    <w:p>
      <w:pPr>
        <w:widowControl/>
        <w:shd w:val="clear" w:color="auto" w:fill="FFFFFF"/>
        <w:snapToGrid w:val="0"/>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7.住房保障支出（类）住房改革支出（款）住房公积金（项）。</w:t>
      </w:r>
      <w:r>
        <w:rPr>
          <w:rFonts w:hint="eastAsia" w:ascii="仿宋_GB2312" w:hAnsi="宋体" w:eastAsia="仿宋_GB2312" w:cs="宋体"/>
          <w:kern w:val="0"/>
          <w:sz w:val="32"/>
          <w:szCs w:val="32"/>
        </w:rPr>
        <w:t>年初预算为41.73万元，支出决算为38.63万元，完成年初预算的92.57%。决算数和年初预算数存在差异的主要原因是人员变动，社保数调整。</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六、一般公共预算财政拨款基本支出决算情况说明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2020年度一般公共预算财政拨款基本支出846.59万元。与上年度相比，增加133.96万元，增长18.8%，主要原因：</w:t>
      </w:r>
      <w:r>
        <w:rPr>
          <w:rFonts w:hint="eastAsia" w:ascii="仿宋_GB2312" w:hAnsi="宋体" w:eastAsia="仿宋_GB2312" w:cs="宋体"/>
          <w:kern w:val="0"/>
          <w:sz w:val="32"/>
          <w:szCs w:val="32"/>
        </w:rPr>
        <w:t>人员变动，社保数调整及</w:t>
      </w:r>
      <w:r>
        <w:rPr>
          <w:rFonts w:hint="eastAsia" w:ascii="仿宋_GB2312" w:hAnsi="仿宋_GB2312" w:eastAsia="仿宋_GB2312" w:cs="仿宋_GB2312"/>
          <w:sz w:val="32"/>
          <w:szCs w:val="32"/>
        </w:rPr>
        <w:t>发放往年三类人员绩效。其中：人员经费708.77万元，主要包括：基本工资、津贴补贴、奖金、绩效工资、机关事业单位基本养老保险缴费、职业年金缴费、职工基本医疗保险缴费、住房公积金、退休费、生活补助、其他对个人和家庭的补助支出；公用经费137.81万元，主要包括：办公费、印刷费、水费、电费、邮电费、差旅费、维修（护）费、培训费、被装购置费、劳务费、委托业务费、其他交通费用、办公设备购置。</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七、一般公共预算财政拨款“三公”经费支出决算情况说明</w:t>
      </w:r>
    </w:p>
    <w:p>
      <w:pPr>
        <w:widowControl/>
        <w:spacing w:line="590" w:lineRule="exact"/>
        <w:ind w:firstLine="643" w:firstLineChars="200"/>
        <w:outlineLvl w:val="2"/>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（一）“三公”经费财政拨款支出决算总体情况说明。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2020年度“三公”经费财政拨款支出预算为48.62万元，支出决算为24.14万元，完成预算的49.65%。2020年度“三公”经费支出决算数与预算数存在差异的主要原因是</w:t>
      </w:r>
      <w:r>
        <w:rPr>
          <w:rFonts w:hint="eastAsia" w:ascii="仿宋_GB2312" w:hAnsi="宋体" w:eastAsia="仿宋_GB2312" w:cs="宋体"/>
          <w:kern w:val="0"/>
          <w:sz w:val="32"/>
          <w:szCs w:val="32"/>
        </w:rPr>
        <w:t>务实高效、勤俭节约，</w:t>
      </w:r>
      <w:r>
        <w:rPr>
          <w:rFonts w:hint="eastAsia" w:ascii="仿宋_GB2312" w:hAnsi="仿宋" w:eastAsia="仿宋_GB2312" w:cs="仿宋"/>
          <w:sz w:val="32"/>
          <w:szCs w:val="32"/>
          <w:shd w:val="clear" w:color="auto" w:fill="FFFFFF"/>
        </w:rPr>
        <w:t>全年实际支出较预算有所下降，严格落实公车使用规定，严禁公车私用，公车运行维护成本大幅下降</w:t>
      </w:r>
      <w:r>
        <w:rPr>
          <w:rFonts w:hint="eastAsia" w:ascii="仿宋_GB2312" w:hAnsi="仿宋_GB2312" w:eastAsia="仿宋_GB2312" w:cs="仿宋_GB2312"/>
          <w:sz w:val="32"/>
          <w:szCs w:val="32"/>
        </w:rPr>
        <w:t>。</w:t>
      </w:r>
    </w:p>
    <w:p>
      <w:pPr>
        <w:widowControl/>
        <w:spacing w:line="590" w:lineRule="exact"/>
        <w:ind w:firstLine="643" w:firstLineChars="200"/>
        <w:outlineLvl w:val="2"/>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（二）“三公”经费财政拨款支出决算具体情况说明。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2020年度“三公”经费财政拨款支出决算中，因公出国（境）费支出决算0万元，占0%；公务用车购置及运行费支出决算24.14万元，完成预算的52.21%，占100%；公务接待费支出决算0万元，占0%。具体情况如下：</w:t>
      </w:r>
    </w:p>
    <w:p>
      <w:pPr>
        <w:widowControl/>
        <w:spacing w:line="590" w:lineRule="exact"/>
        <w:ind w:firstLine="643" w:firstLineChars="200"/>
        <w:rPr>
          <w:rFonts w:hint="eastAsia" w:ascii="仿宋_GB2312" w:eastAsia="仿宋_GB2312"/>
          <w:sz w:val="32"/>
          <w:szCs w:val="32"/>
        </w:rPr>
      </w:pPr>
      <w:r>
        <w:rPr>
          <w:rFonts w:hint="eastAsia" w:ascii="仿宋_GB2312" w:hAnsi="仿宋_GB2312" w:eastAsia="仿宋_GB2312" w:cs="仿宋_GB2312"/>
          <w:b/>
          <w:bCs/>
          <w:sz w:val="32"/>
          <w:szCs w:val="32"/>
        </w:rPr>
        <w:t>1．因公出国（境）费</w:t>
      </w:r>
      <w:r>
        <w:rPr>
          <w:rFonts w:hint="eastAsia" w:ascii="仿宋_GB2312" w:hAnsi="仿宋_GB2312" w:eastAsia="仿宋_GB2312" w:cs="仿宋_GB2312"/>
          <w:sz w:val="32"/>
          <w:szCs w:val="32"/>
        </w:rPr>
        <w:t>预算为0万元，支出决算为0万元，完成预算的100%。决算数与预算数存在差异的主要原因是</w:t>
      </w:r>
      <w:r>
        <w:rPr>
          <w:rFonts w:hint="eastAsia" w:ascii="仿宋_GB2312" w:hAnsi="宋体" w:eastAsia="仿宋_GB2312" w:cs="宋体"/>
          <w:kern w:val="0"/>
          <w:sz w:val="32"/>
          <w:szCs w:val="32"/>
        </w:rPr>
        <w:t>我单位未安排因公出国出境预算项目。</w:t>
      </w:r>
      <w:r>
        <w:rPr>
          <w:rFonts w:hint="eastAsia" w:ascii="仿宋_GB2312" w:eastAsia="仿宋_GB2312"/>
          <w:sz w:val="32"/>
          <w:szCs w:val="32"/>
        </w:rPr>
        <w:t>全年我单位因公出国（境）团组0个，累计0人次。其中：</w:t>
      </w:r>
    </w:p>
    <w:p>
      <w:pPr>
        <w:autoSpaceDN w:val="0"/>
        <w:spacing w:line="560" w:lineRule="exact"/>
        <w:ind w:firstLine="640" w:firstLineChars="200"/>
        <w:rPr>
          <w:rFonts w:hint="eastAsia" w:ascii="仿宋_GB2312" w:hAnsi="仿宋_GB2312" w:eastAsia="仿宋_GB2312"/>
          <w:sz w:val="32"/>
          <w:szCs w:val="32"/>
          <w:shd w:val="clear" w:color="auto" w:fill="FFFFFF"/>
        </w:rPr>
      </w:pPr>
      <w:r>
        <w:rPr>
          <w:rFonts w:hint="eastAsia" w:ascii="仿宋_GB2312" w:hAnsi="仿宋_GB2312" w:eastAsia="仿宋_GB2312"/>
          <w:sz w:val="32"/>
          <w:szCs w:val="32"/>
          <w:shd w:val="clear" w:color="auto" w:fill="FFFFFF"/>
        </w:rPr>
        <w:t>会议支出0万元。</w:t>
      </w:r>
    </w:p>
    <w:p>
      <w:pPr>
        <w:autoSpaceDN w:val="0"/>
        <w:spacing w:line="560" w:lineRule="exact"/>
        <w:ind w:firstLine="640" w:firstLineChars="200"/>
        <w:rPr>
          <w:rFonts w:hint="eastAsia" w:ascii="仿宋_GB2312" w:hAnsi="仿宋_GB2312" w:eastAsia="仿宋_GB2312"/>
          <w:sz w:val="32"/>
          <w:szCs w:val="32"/>
          <w:shd w:val="clear" w:color="auto" w:fill="FFFFFF"/>
        </w:rPr>
      </w:pPr>
      <w:r>
        <w:rPr>
          <w:rFonts w:hint="eastAsia" w:ascii="仿宋_GB2312" w:hAnsi="仿宋_GB2312" w:eastAsia="仿宋_GB2312"/>
          <w:sz w:val="32"/>
          <w:szCs w:val="32"/>
          <w:shd w:val="clear" w:color="auto" w:fill="FFFFFF"/>
        </w:rPr>
        <w:t>出国谈判、工作磋商支出0万元。</w:t>
      </w:r>
    </w:p>
    <w:p>
      <w:pPr>
        <w:autoSpaceDN w:val="0"/>
        <w:spacing w:line="560" w:lineRule="exact"/>
        <w:ind w:firstLine="640" w:firstLineChars="200"/>
        <w:rPr>
          <w:rFonts w:hint="eastAsia" w:ascii="仿宋_GB2312" w:hAnsi="仿宋_GB2312" w:eastAsia="仿宋_GB2312"/>
          <w:sz w:val="32"/>
          <w:szCs w:val="32"/>
          <w:shd w:val="clear" w:color="auto" w:fill="FFFFFF"/>
        </w:rPr>
      </w:pPr>
      <w:r>
        <w:rPr>
          <w:rFonts w:hint="eastAsia" w:ascii="仿宋_GB2312" w:hAnsi="仿宋_GB2312" w:eastAsia="仿宋_GB2312"/>
          <w:sz w:val="32"/>
          <w:szCs w:val="32"/>
          <w:shd w:val="clear" w:color="auto" w:fill="FFFFFF"/>
        </w:rPr>
        <w:t>境外业务培训支出0万元。</w:t>
      </w:r>
    </w:p>
    <w:p>
      <w:pPr>
        <w:widowControl/>
        <w:spacing w:line="590" w:lineRule="exact"/>
        <w:ind w:firstLine="640" w:firstLineChars="200"/>
        <w:rPr>
          <w:rFonts w:hint="eastAsia" w:ascii="仿宋_GB2312" w:hAnsi="仿宋_GB2312" w:eastAsia="仿宋_GB2312" w:cs="仿宋_GB2312"/>
          <w:sz w:val="32"/>
          <w:szCs w:val="32"/>
        </w:rPr>
      </w:pPr>
      <w:r>
        <w:rPr>
          <w:rFonts w:hint="eastAsia" w:ascii="仿宋_GB2312" w:eastAsia="仿宋_GB2312"/>
          <w:sz w:val="32"/>
          <w:szCs w:val="32"/>
        </w:rPr>
        <w:t>因公出国（境）费支出决算比上年度增加0.00万元，增长0.00%，主要原因是</w:t>
      </w:r>
      <w:r>
        <w:rPr>
          <w:rFonts w:hint="eastAsia" w:ascii="仿宋_GB2312" w:hAnsi="仿宋_GB2312" w:eastAsia="仿宋_GB2312" w:cs="仿宋_GB2312"/>
          <w:sz w:val="32"/>
          <w:szCs w:val="32"/>
        </w:rPr>
        <w:t>我单位2020年及2019年未安排此项预算</w:t>
      </w:r>
      <w:r>
        <w:rPr>
          <w:rFonts w:hint="eastAsia" w:ascii="仿宋_GB2312" w:eastAsia="仿宋_GB2312"/>
          <w:sz w:val="32"/>
          <w:szCs w:val="32"/>
        </w:rPr>
        <w:t>。</w:t>
      </w:r>
    </w:p>
    <w:p>
      <w:pPr>
        <w:widowControl/>
        <w:spacing w:line="59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2．公务用车购置及运行费</w:t>
      </w:r>
      <w:r>
        <w:rPr>
          <w:rFonts w:hint="eastAsia" w:ascii="仿宋_GB2312" w:hAnsi="仿宋_GB2312" w:eastAsia="仿宋_GB2312" w:cs="仿宋_GB2312"/>
          <w:sz w:val="32"/>
          <w:szCs w:val="32"/>
        </w:rPr>
        <w:t>预算为46.24万元，支出决算为24.14万元，完成预算的52.21%。决算数与预算数存在差异的主要原因是</w:t>
      </w:r>
      <w:r>
        <w:rPr>
          <w:rFonts w:hint="eastAsia" w:ascii="仿宋_GB2312" w:hAnsi="仿宋" w:eastAsia="仿宋_GB2312" w:cs="仿宋"/>
          <w:sz w:val="32"/>
          <w:szCs w:val="32"/>
          <w:shd w:val="clear" w:color="auto" w:fill="FFFFFF"/>
        </w:rPr>
        <w:t>严格落实公车使用规定，严禁公车私用，公车运行维护成本大幅下降</w:t>
      </w:r>
      <w:r>
        <w:rPr>
          <w:rFonts w:hint="eastAsia" w:ascii="仿宋_GB2312" w:hAnsi="仿宋_GB2312" w:eastAsia="仿宋_GB2312" w:cs="仿宋_GB2312"/>
          <w:sz w:val="32"/>
          <w:szCs w:val="32"/>
        </w:rPr>
        <w:t>。其中：</w:t>
      </w:r>
    </w:p>
    <w:p>
      <w:pPr>
        <w:widowControl/>
        <w:spacing w:line="59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公务用车购置支出</w:t>
      </w:r>
      <w:r>
        <w:rPr>
          <w:rFonts w:hint="eastAsia" w:ascii="仿宋_GB2312" w:hAnsi="仿宋_GB2312" w:eastAsia="仿宋_GB2312" w:cs="仿宋_GB2312"/>
          <w:sz w:val="32"/>
          <w:szCs w:val="32"/>
        </w:rPr>
        <w:t>为0万元，购置车辆0辆。</w:t>
      </w:r>
    </w:p>
    <w:p>
      <w:pPr>
        <w:widowControl/>
        <w:spacing w:line="59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公务用车运行支出</w:t>
      </w:r>
      <w:r>
        <w:rPr>
          <w:rFonts w:hint="eastAsia" w:ascii="仿宋_GB2312" w:hAnsi="仿宋_GB2312" w:eastAsia="仿宋_GB2312" w:cs="仿宋_GB2312"/>
          <w:sz w:val="32"/>
          <w:szCs w:val="32"/>
        </w:rPr>
        <w:t>24.14万元。主要用于</w:t>
      </w:r>
      <w:r>
        <w:rPr>
          <w:rFonts w:hint="eastAsia" w:ascii="仿宋_GB2312" w:hAnsi="仿宋" w:eastAsia="仿宋_GB2312" w:cs="仿宋"/>
          <w:sz w:val="32"/>
          <w:szCs w:val="32"/>
          <w:shd w:val="clear" w:color="auto" w:fill="FFFFFF"/>
        </w:rPr>
        <w:t>办案等业务的车辆维修、加油及保养等</w:t>
      </w:r>
      <w:r>
        <w:rPr>
          <w:rFonts w:hint="eastAsia" w:ascii="仿宋_GB2312" w:hAnsi="仿宋_GB2312" w:eastAsia="仿宋_GB2312" w:cs="仿宋_GB2312"/>
          <w:sz w:val="32"/>
          <w:szCs w:val="32"/>
        </w:rPr>
        <w:t>。2020年期末，部门开支财政拨款的公务用车保有量为5辆。</w:t>
      </w:r>
    </w:p>
    <w:p>
      <w:pPr>
        <w:widowControl/>
        <w:spacing w:line="590" w:lineRule="exact"/>
        <w:ind w:firstLine="640" w:firstLineChars="200"/>
        <w:rPr>
          <w:rFonts w:hint="eastAsia" w:ascii="仿宋_GB2312" w:hAnsi="仿宋" w:eastAsia="仿宋_GB2312" w:cs="仿宋"/>
          <w:sz w:val="32"/>
          <w:szCs w:val="32"/>
          <w:shd w:val="clear" w:color="auto" w:fill="FFFFFF"/>
        </w:rPr>
      </w:pPr>
      <w:r>
        <w:rPr>
          <w:rFonts w:hint="eastAsia" w:ascii="仿宋_GB2312" w:hAnsi="仿宋_GB2312" w:eastAsia="仿宋_GB2312" w:cs="仿宋_GB2312"/>
          <w:color w:val="FF0000"/>
          <w:sz w:val="32"/>
          <w:szCs w:val="32"/>
        </w:rPr>
        <w:t>与去年比对：</w:t>
      </w:r>
      <w:r>
        <w:rPr>
          <w:rFonts w:hint="eastAsia" w:ascii="仿宋_GB2312" w:hAnsi="仿宋" w:eastAsia="仿宋_GB2312" w:cs="仿宋"/>
          <w:sz w:val="32"/>
          <w:szCs w:val="32"/>
          <w:shd w:val="clear" w:color="auto" w:fill="FFFFFF"/>
        </w:rPr>
        <w:t>公务用车购置及运行费支出决算比上年度</w:t>
      </w:r>
      <w:r>
        <w:rPr>
          <w:rFonts w:hint="eastAsia" w:ascii="仿宋_GB2312" w:hAnsi="仿宋" w:eastAsia="仿宋_GB2312" w:cs="仿宋"/>
          <w:sz w:val="32"/>
          <w:szCs w:val="32"/>
          <w:shd w:val="clear" w:color="auto" w:fill="FFFFFF"/>
          <w:lang w:eastAsia="zh-CN"/>
        </w:rPr>
        <w:t>减少</w:t>
      </w:r>
      <w:r>
        <w:rPr>
          <w:rFonts w:hint="eastAsia" w:ascii="仿宋_GB2312" w:hAnsi="仿宋" w:eastAsia="仿宋_GB2312" w:cs="仿宋"/>
          <w:sz w:val="32"/>
          <w:szCs w:val="32"/>
          <w:shd w:val="clear" w:color="auto" w:fill="FFFFFF"/>
          <w:lang w:val="en-US" w:eastAsia="zh-CN"/>
        </w:rPr>
        <w:t>0.2</w:t>
      </w:r>
      <w:r>
        <w:rPr>
          <w:rFonts w:hint="eastAsia" w:ascii="仿宋_GB2312" w:hAnsi="仿宋" w:eastAsia="仿宋_GB2312" w:cs="仿宋"/>
          <w:sz w:val="32"/>
          <w:szCs w:val="32"/>
          <w:shd w:val="clear" w:color="auto" w:fill="FFFFFF"/>
        </w:rPr>
        <w:t>万元，</w:t>
      </w:r>
      <w:r>
        <w:rPr>
          <w:rFonts w:hint="eastAsia" w:ascii="仿宋_GB2312" w:hAnsi="仿宋" w:eastAsia="仿宋_GB2312" w:cs="仿宋"/>
          <w:sz w:val="32"/>
          <w:szCs w:val="32"/>
          <w:shd w:val="clear" w:color="auto" w:fill="FFFFFF"/>
          <w:lang w:eastAsia="zh-CN"/>
        </w:rPr>
        <w:t>下降</w:t>
      </w:r>
      <w:r>
        <w:rPr>
          <w:rFonts w:hint="eastAsia" w:ascii="仿宋_GB2312" w:hAnsi="仿宋" w:eastAsia="仿宋_GB2312" w:cs="仿宋"/>
          <w:sz w:val="32"/>
          <w:szCs w:val="32"/>
          <w:shd w:val="clear" w:color="auto" w:fill="FFFFFF"/>
          <w:lang w:val="en-US" w:eastAsia="zh-CN"/>
        </w:rPr>
        <w:t>0.82</w:t>
      </w:r>
      <w:r>
        <w:rPr>
          <w:rFonts w:hint="eastAsia" w:ascii="仿宋_GB2312" w:hAnsi="仿宋" w:eastAsia="仿宋_GB2312" w:cs="仿宋"/>
          <w:sz w:val="32"/>
          <w:szCs w:val="32"/>
          <w:shd w:val="clear" w:color="auto" w:fill="FFFFFF"/>
        </w:rPr>
        <w:t>%,主要原因是</w:t>
      </w:r>
      <w:r>
        <w:rPr>
          <w:rFonts w:hint="eastAsia" w:ascii="仿宋_GB2312" w:hAnsi="仿宋" w:eastAsia="仿宋_GB2312" w:cs="仿宋"/>
          <w:sz w:val="32"/>
          <w:szCs w:val="32"/>
          <w:shd w:val="clear" w:color="auto" w:fill="FFFFFF"/>
          <w:lang w:eastAsia="zh-CN"/>
        </w:rPr>
        <w:t>业务量变化用车变化</w:t>
      </w:r>
      <w:r>
        <w:rPr>
          <w:rFonts w:hint="eastAsia" w:ascii="仿宋_GB2312" w:hAnsi="仿宋" w:eastAsia="仿宋_GB2312" w:cs="仿宋"/>
          <w:sz w:val="32"/>
          <w:szCs w:val="32"/>
          <w:shd w:val="clear" w:color="auto" w:fill="FFFFFF"/>
        </w:rPr>
        <w:t>。</w:t>
      </w:r>
    </w:p>
    <w:p>
      <w:pPr>
        <w:widowControl/>
        <w:spacing w:line="59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3.公务接待费</w:t>
      </w:r>
      <w:r>
        <w:rPr>
          <w:rFonts w:hint="eastAsia" w:ascii="仿宋_GB2312" w:hAnsi="仿宋_GB2312" w:eastAsia="仿宋_GB2312" w:cs="仿宋_GB2312"/>
          <w:sz w:val="32"/>
          <w:szCs w:val="32"/>
        </w:rPr>
        <w:t>预算为2.38万元，支出决算</w:t>
      </w:r>
      <w:bookmarkStart w:id="0" w:name="_GoBack"/>
      <w:bookmarkEnd w:id="0"/>
      <w:r>
        <w:rPr>
          <w:rFonts w:hint="eastAsia" w:ascii="仿宋_GB2312" w:hAnsi="仿宋_GB2312" w:eastAsia="仿宋_GB2312" w:cs="仿宋_GB2312"/>
          <w:sz w:val="32"/>
          <w:szCs w:val="32"/>
        </w:rPr>
        <w:t>为0万元，完成预算的0%。决算数与预算数存在差异的主要原因是</w:t>
      </w:r>
      <w:r>
        <w:rPr>
          <w:rFonts w:hint="eastAsia" w:ascii="仿宋_GB2312" w:hAnsi="仿宋" w:eastAsia="仿宋_GB2312" w:cs="仿宋"/>
          <w:sz w:val="32"/>
          <w:szCs w:val="32"/>
          <w:shd w:val="clear" w:color="auto" w:fill="FFFFFF"/>
        </w:rPr>
        <w:t>勤俭节约，压缩 “三公”支出</w:t>
      </w:r>
      <w:r>
        <w:rPr>
          <w:rFonts w:hint="eastAsia" w:ascii="仿宋_GB2312" w:hAnsi="仿宋_GB2312" w:eastAsia="仿宋_GB2312" w:cs="仿宋_GB2312"/>
          <w:sz w:val="32"/>
          <w:szCs w:val="32"/>
        </w:rPr>
        <w:t>。其中：</w:t>
      </w:r>
    </w:p>
    <w:p>
      <w:pPr>
        <w:widowControl/>
        <w:spacing w:line="59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外宾接待支出</w:t>
      </w:r>
      <w:r>
        <w:rPr>
          <w:rFonts w:hint="eastAsia" w:ascii="仿宋_GB2312" w:hAnsi="仿宋_GB2312" w:eastAsia="仿宋_GB2312" w:cs="仿宋_GB2312"/>
          <w:sz w:val="32"/>
          <w:szCs w:val="32"/>
        </w:rPr>
        <w:t>0万元。2020年共接待国（境）外来访团组0个、来访外宾0人次（不包括陪同人员）。</w:t>
      </w:r>
    </w:p>
    <w:p>
      <w:pPr>
        <w:widowControl/>
        <w:spacing w:line="59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其他国内公务接待支出</w:t>
      </w:r>
      <w:r>
        <w:rPr>
          <w:rFonts w:hint="eastAsia" w:ascii="仿宋_GB2312" w:hAnsi="仿宋_GB2312" w:eastAsia="仿宋_GB2312" w:cs="仿宋_GB2312"/>
          <w:sz w:val="32"/>
          <w:szCs w:val="32"/>
        </w:rPr>
        <w:t>0万元。2020年共接待国内来访团组0个、来宾0人次（不包括陪同人员）。</w:t>
      </w:r>
    </w:p>
    <w:p>
      <w:pPr>
        <w:widowControl/>
        <w:spacing w:line="59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与去年比对：</w:t>
      </w:r>
      <w:r>
        <w:rPr>
          <w:rFonts w:hint="eastAsia" w:ascii="仿宋_GB2312" w:hAnsi="仿宋_GB2312" w:eastAsia="仿宋_GB2312" w:cs="仿宋_GB2312"/>
          <w:sz w:val="32"/>
          <w:szCs w:val="32"/>
        </w:rPr>
        <w:t>公务接待费支出决算比上年度增加（减少）</w:t>
      </w:r>
      <w:r>
        <w:rPr>
          <w:rFonts w:hint="eastAsia" w:ascii="仿宋_GB2312" w:hAnsi="仿宋_GB2312" w:eastAsia="仿宋_GB2312" w:cs="仿宋_GB2312"/>
          <w:sz w:val="32"/>
          <w:szCs w:val="32"/>
          <w:lang w:val="en-US" w:eastAsia="zh-CN"/>
        </w:rPr>
        <w:t>0.00</w:t>
      </w:r>
      <w:r>
        <w:rPr>
          <w:rFonts w:hint="eastAsia" w:ascii="仿宋_GB2312" w:hAnsi="仿宋_GB2312" w:eastAsia="仿宋_GB2312" w:cs="仿宋_GB2312"/>
          <w:sz w:val="32"/>
          <w:szCs w:val="32"/>
        </w:rPr>
        <w:t>万元，增长（下降）</w:t>
      </w:r>
      <w:r>
        <w:rPr>
          <w:rFonts w:hint="eastAsia" w:ascii="仿宋_GB2312" w:hAnsi="仿宋_GB2312" w:eastAsia="仿宋_GB2312" w:cs="仿宋_GB2312"/>
          <w:sz w:val="32"/>
          <w:szCs w:val="32"/>
          <w:lang w:val="en-US" w:eastAsia="zh-CN"/>
        </w:rPr>
        <w:t>0.00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我单位厉行节约，无公务接待</w:t>
      </w:r>
      <w:r>
        <w:rPr>
          <w:rFonts w:hint="eastAsia" w:ascii="仿宋_GB2312" w:hAnsi="仿宋_GB2312" w:eastAsia="仿宋_GB2312" w:cs="仿宋_GB2312"/>
          <w:sz w:val="32"/>
          <w:szCs w:val="32"/>
        </w:rPr>
        <w:t>。</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八、预算绩效情况说明</w:t>
      </w:r>
    </w:p>
    <w:p>
      <w:pPr>
        <w:widowControl/>
        <w:spacing w:line="590" w:lineRule="exact"/>
        <w:ind w:firstLine="643" w:firstLineChars="200"/>
        <w:outlineLvl w:val="2"/>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（一）绩效管理工作开展情况。</w:t>
      </w:r>
    </w:p>
    <w:p>
      <w:pPr>
        <w:widowControl/>
        <w:spacing w:line="590" w:lineRule="exact"/>
        <w:ind w:firstLine="640" w:firstLineChars="200"/>
        <w:outlineLvl w:val="2"/>
        <w:rPr>
          <w:rFonts w:ascii="楷体_GB2312" w:hAnsi="楷体_GB2312" w:eastAsia="楷体_GB2312" w:cs="楷体_GB2312"/>
          <w:b/>
          <w:bCs/>
          <w:sz w:val="32"/>
          <w:szCs w:val="32"/>
        </w:rPr>
      </w:pPr>
      <w:r>
        <w:rPr>
          <w:rFonts w:hint="eastAsia" w:ascii="仿宋_GB2312" w:hAnsi="仿宋_GB2312" w:eastAsia="仿宋_GB2312" w:cs="仿宋_GB2312"/>
          <w:sz w:val="32"/>
          <w:szCs w:val="32"/>
        </w:rPr>
        <w:t>2020年,我部门(单位)纳入预算绩效管理的支出总额为754.31万元,其中人员经费支出508.12万元,公用经费支出109.77万元;支出项目共1个,支出金额136.42万元。其中,进行项目绩效自评1个,自评金额136.42万元；纳入重点绩效评价(部门评价或财政评价)1个,评价金额136.42万元。</w:t>
      </w:r>
    </w:p>
    <w:p>
      <w:pPr>
        <w:widowControl/>
        <w:spacing w:line="590" w:lineRule="exact"/>
        <w:ind w:firstLine="643" w:firstLineChars="200"/>
        <w:outlineLvl w:val="2"/>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（二）部门（单位）整体和项目绩效自评结果。</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通过科学、规范的方法,基于预期目标的实现程度,评价2020年度部门（单位）预算绩效目标的完成情况,部门（单位）整体绩效自评得分为70.78分（后附整体表）。</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我部门（单位）共有1个项目批复了绩效目标,其中机关1个。基于项目预期目标的实现程度,对2020年度项目支出绩效进行自评,绩效自评平均得分为70.78分。</w:t>
      </w:r>
    </w:p>
    <w:p>
      <w:pPr>
        <w:widowControl/>
        <w:spacing w:line="590" w:lineRule="exact"/>
        <w:ind w:firstLine="643" w:firstLineChars="200"/>
        <w:outlineLvl w:val="2"/>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（三）重点绩效评价结果。</w:t>
      </w:r>
    </w:p>
    <w:p>
      <w:pPr>
        <w:ind w:firstLine="640" w:firstLineChars="200"/>
        <w:rPr>
          <w:rFonts w:ascii="仿宋" w:hAnsi="仿宋" w:eastAsia="仿宋" w:cs="仿宋"/>
          <w:sz w:val="32"/>
          <w:szCs w:val="32"/>
        </w:rPr>
      </w:pPr>
      <w:r>
        <w:rPr>
          <w:rFonts w:hint="eastAsia" w:ascii="仿宋" w:hAnsi="仿宋" w:eastAsia="仿宋" w:cs="仿宋"/>
          <w:sz w:val="32"/>
          <w:szCs w:val="32"/>
        </w:rPr>
        <w:t>我部门（单位）选取了2020年度政法纪检监察转移支付资金项目开展部门评价。评价结果是认真</w:t>
      </w:r>
      <w:r>
        <w:rPr>
          <w:rFonts w:hint="eastAsia" w:ascii="仿宋_GB2312" w:hAnsi="宋体" w:eastAsia="仿宋_GB2312" w:cs="宋体"/>
          <w:kern w:val="0"/>
          <w:sz w:val="32"/>
          <w:szCs w:val="32"/>
        </w:rPr>
        <w:t>履行审查逮捕审查起诉职能，全力维护社会稳定;认真履行刑事诉讼监督职能，有力维护司法公正和法制权威;认真开展民事行政检察和公益诉讼工作，有效维护群众合法权益和社会公共利益;站位全局，认真履行法律监督主责主业，通过履行宪法和法律赋予的职责，推进各项检察工作稳健发展</w:t>
      </w:r>
      <w:r>
        <w:rPr>
          <w:rFonts w:hint="eastAsia" w:ascii="仿宋" w:hAnsi="仿宋" w:eastAsia="仿宋" w:cs="仿宋"/>
          <w:sz w:val="32"/>
          <w:szCs w:val="32"/>
        </w:rPr>
        <w:t>。绩效评价得分为70.78分。</w:t>
      </w:r>
    </w:p>
    <w:p>
      <w:pPr>
        <w:ind w:firstLine="640" w:firstLineChars="200"/>
        <w:rPr>
          <w:rFonts w:ascii="仿宋" w:hAnsi="仿宋" w:eastAsia="仿宋" w:cs="仿宋"/>
          <w:sz w:val="32"/>
          <w:szCs w:val="32"/>
        </w:rPr>
      </w:pPr>
      <w:r>
        <w:rPr>
          <w:rFonts w:hint="eastAsia" w:ascii="仿宋" w:hAnsi="仿宋" w:eastAsia="仿宋" w:cs="仿宋"/>
          <w:sz w:val="32"/>
          <w:szCs w:val="32"/>
        </w:rPr>
        <w:t>财政评价选取了2020年度1项目开展重点绩效评价。</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九、政府性基金预算财政拨款支出决算情况说明</w:t>
      </w:r>
    </w:p>
    <w:p>
      <w:pPr>
        <w:widowControl/>
        <w:shd w:val="clear" w:color="auto" w:fill="FFFFFF"/>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2020年度政府性基金预算财政拨款支出年初预算为0万元，支出决算为0万元，完成年初预算的0%。主要原因：我部门2020年度没有政府性基金收入，也没有使用政府性基金安排的支出。</w:t>
      </w:r>
    </w:p>
    <w:p>
      <w:pPr>
        <w:widowControl/>
        <w:numPr>
          <w:ilvl w:val="0"/>
          <w:numId w:val="3"/>
        </w:numPr>
        <w:spacing w:line="590" w:lineRule="exact"/>
        <w:ind w:firstLine="640"/>
        <w:outlineLvl w:val="1"/>
        <w:rPr>
          <w:rFonts w:ascii="黑体" w:hAnsi="黑体" w:eastAsia="黑体" w:cs="黑体"/>
          <w:sz w:val="32"/>
          <w:szCs w:val="32"/>
        </w:rPr>
      </w:pPr>
      <w:r>
        <w:rPr>
          <w:rFonts w:hint="eastAsia" w:ascii="黑体" w:hAnsi="黑体" w:eastAsia="黑体" w:cs="黑体"/>
          <w:sz w:val="32"/>
          <w:szCs w:val="32"/>
        </w:rPr>
        <w:t>国有资本经营预算财政拨款支出决算情况说明</w:t>
      </w:r>
    </w:p>
    <w:p>
      <w:pPr>
        <w:widowControl/>
        <w:spacing w:line="590" w:lineRule="exact"/>
        <w:ind w:firstLine="640" w:firstLineChars="200"/>
        <w:outlineLvl w:val="1"/>
        <w:rPr>
          <w:rFonts w:ascii="黑体" w:hAnsi="黑体" w:eastAsia="黑体" w:cs="黑体"/>
          <w:sz w:val="32"/>
          <w:szCs w:val="32"/>
        </w:rPr>
      </w:pPr>
      <w:r>
        <w:rPr>
          <w:rFonts w:hint="eastAsia" w:ascii="仿宋_GB2312" w:hAnsi="仿宋_GB2312" w:eastAsia="仿宋_GB2312" w:cs="仿宋_GB2312"/>
          <w:sz w:val="32"/>
          <w:szCs w:val="32"/>
        </w:rPr>
        <w:t>2020年度国有资本经营预算财政拨款支出年初预算为0万元，支出决算为0万元。主要原因：我部门2020年度没有国有资本经营收入，也没有使用国有资本经营安排的支出。</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十一、机关运行经费支出情况说明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2020年度机关运行经费支出137.81万元，较上年度增加16.94万元，增长14.02%。增加的主要原因是：日常业务办公经费的变化。</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十二、政府采购支出情况说明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度政府采购支出总额115.93万元，其中：政府采购货物支出64.77万元、政府采购工程支出51.16万元、政府采购服务支出0万元。授予中小企业合同金额115.93万元，占政府采购支出总额的100%，其中：授予小微企业合同金额115.93万元，占政府采购支出总额的100%。</w:t>
      </w:r>
    </w:p>
    <w:p>
      <w:pPr>
        <w:widowControl/>
        <w:spacing w:line="59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十三、国有资产占用情况说明</w:t>
      </w: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2020年期末，我部门共有车辆7辆，其中：执法执勤用车7辆；单位价值50万元以上通用设备0台（套），单位价值100万元以上专用设备0台（套）。</w:t>
      </w:r>
    </w:p>
    <w:p>
      <w:pPr>
        <w:widowControl/>
        <w:jc w:val="left"/>
        <w:rPr>
          <w:rFonts w:ascii="楷体_GB2312" w:hAnsi="楷体_GB2312" w:eastAsia="楷体_GB2312" w:cs="楷体_GB2312"/>
          <w:sz w:val="32"/>
          <w:szCs w:val="32"/>
        </w:rPr>
        <w:sectPr>
          <w:pgSz w:w="11906" w:h="16838"/>
          <w:pgMar w:top="1440" w:right="1800" w:bottom="1440" w:left="1800" w:header="720" w:footer="720" w:gutter="0"/>
          <w:pgNumType w:fmt="numberInDash"/>
          <w:cols w:space="720" w:num="1"/>
          <w:docGrid w:type="lines" w:linePitch="312" w:charSpace="0"/>
        </w:sect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widowControl/>
        <w:jc w:val="left"/>
        <w:rPr>
          <w:rFonts w:ascii="黑体" w:hAnsi="宋体" w:eastAsia="黑体" w:cs="宋体"/>
          <w:kern w:val="0"/>
          <w:sz w:val="28"/>
          <w:szCs w:val="28"/>
        </w:rPr>
      </w:pPr>
    </w:p>
    <w:p>
      <w:pPr>
        <w:jc w:val="center"/>
        <w:outlineLvl w:val="0"/>
        <w:rPr>
          <w:rFonts w:ascii="黑体" w:hAnsi="黑体" w:eastAsia="黑体" w:cs="黑体"/>
          <w:sz w:val="48"/>
          <w:szCs w:val="48"/>
        </w:rPr>
      </w:pPr>
      <w:r>
        <w:rPr>
          <w:rFonts w:hint="eastAsia" w:ascii="黑体" w:hAnsi="黑体" w:eastAsia="黑体" w:cs="黑体"/>
          <w:sz w:val="48"/>
          <w:szCs w:val="48"/>
        </w:rPr>
        <w:t>第四部分  名词解释</w:t>
      </w:r>
    </w:p>
    <w:p>
      <w:pPr>
        <w:jc w:val="center"/>
        <w:rPr>
          <w:rFonts w:ascii="黑体" w:hAnsi="黑体" w:eastAsia="黑体" w:cs="黑体"/>
          <w:sz w:val="48"/>
          <w:szCs w:val="48"/>
        </w:rPr>
      </w:pPr>
    </w:p>
    <w:p>
      <w:pPr>
        <w:jc w:val="center"/>
        <w:outlineLvl w:val="0"/>
        <w:rPr>
          <w:rFonts w:ascii="黑体" w:hAnsi="黑体" w:eastAsia="黑体" w:cs="黑体"/>
          <w:sz w:val="48"/>
          <w:szCs w:val="48"/>
        </w:rPr>
        <w:sectPr>
          <w:pgSz w:w="11906" w:h="16838"/>
          <w:pgMar w:top="1440" w:right="1531" w:bottom="1440" w:left="1587" w:header="850" w:footer="992" w:gutter="0"/>
          <w:pgNumType w:fmt="numberInDash"/>
          <w:cols w:space="720" w:num="1"/>
          <w:docGrid w:type="lines" w:linePitch="317" w:charSpace="0"/>
        </w:sectPr>
      </w:pP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一、财政拨款收入：单位从同级政府财政部门取得的财政预算资金。</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二、事业收入：事业单位开展专业业务活动及其辅助活动取得的收入。</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三、上级补助收入：事业单位从主管部门和上级单位取得的非财政补助收入。</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四、附属单位上缴收入：事业单位取得附属独立核算单位根据有关规定上缴的收入。</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五、经营收入：事业单位在专业业务活动及其辅助活动之外开展非独立核算经营活动取得的收入。</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六、其他收入：单位取得的除“财政拨款收入”、“事业收入”、“上级补助收入”、“附属单位上缴收入”、“经营收入”以外的各项收入。</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七、用事业基金弥补收支差额：事业单位在当年收入不足以安排当年支出的情况下，使用以前年度积累的事业基金（事业单位当年收支相抵后按国家规定提取、用于弥补以后年度收支差额的基金）弥补当年收支缺口的资金。</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八、基本支出：为保障机构正常运转、完成日常工作任务而发生的人员支出和公用支出。</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九、项目支出：基本支出之外为完成特定行政任务和事业发展目标所发生的支出。</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三公”经费：纳入同级财政预决算管理“三公”经费，指部门使用财政拨款安排的因公出国（境）费、公务用车购置及运行费和公务接待费。其中，因公出国（境）费反映单位公务出国（境）的国际旅费、国外城市间交通费、住宿费、伙食费、培训费、公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十二、工资福利支出：单位支付给在职职工和编制外长期聘用人员的各类劳动报酬，以及为上述人员缴纳的各项社会保险费等。</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十三、商品和服务支出：单位购买商品和服务的支出。</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十四、对个人和家庭的补助支出：单位用于对个人和家庭的补助支出。</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十五、年末结转：本年度或以前年度预算安排，已执行但尚未完成或因客观条件发生变化无法按原计划实施，需延迟到以后年度按有关规定继续使用的资金。</w:t>
      </w:r>
    </w:p>
    <w:p>
      <w:pPr>
        <w:widowControl/>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十六、年末结余：本年度或以前年度预算安排，已执行完毕或因客观条件发生变化无法按原预算安排实施，不需要再使用或无法按原预算安排继续使用的资金</w:t>
      </w:r>
    </w:p>
    <w:p>
      <w:r>
        <w:br w:type="page"/>
      </w: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p>
    <w:p>
      <w:pPr>
        <w:jc w:val="center"/>
        <w:outlineLvl w:val="0"/>
        <w:rPr>
          <w:rFonts w:ascii="黑体" w:hAnsi="黑体" w:eastAsia="黑体" w:cs="黑体"/>
          <w:sz w:val="48"/>
          <w:szCs w:val="48"/>
        </w:rPr>
      </w:pPr>
      <w:r>
        <w:rPr>
          <w:rFonts w:hint="eastAsia" w:ascii="黑体" w:hAnsi="黑体" w:eastAsia="黑体" w:cs="黑体"/>
          <w:sz w:val="48"/>
          <w:szCs w:val="48"/>
        </w:rPr>
        <w:t>第五部分  附件</w:t>
      </w:r>
    </w:p>
    <w:p>
      <w:pPr>
        <w:rPr>
          <w:rFonts w:ascii="黑体" w:hAnsi="黑体" w:eastAsia="黑体" w:cs="黑体"/>
          <w:sz w:val="48"/>
          <w:szCs w:val="48"/>
        </w:rPr>
      </w:pPr>
      <w:r>
        <w:rPr>
          <w:rFonts w:hint="eastAsia" w:ascii="黑体" w:hAnsi="黑体" w:eastAsia="黑体" w:cs="黑体"/>
          <w:sz w:val="48"/>
          <w:szCs w:val="48"/>
        </w:rPr>
        <w:br w:type="page"/>
      </w:r>
    </w:p>
    <w:p>
      <w:pPr>
        <w:tabs>
          <w:tab w:val="left" w:pos="4830"/>
        </w:tabs>
        <w:ind w:firstLine="420" w:firstLineChars="200"/>
        <w:outlineLvl w:val="0"/>
      </w:pPr>
      <w:r>
        <w:rPr>
          <w:rFonts w:hint="eastAsia"/>
        </w:rPr>
        <w:drawing>
          <wp:inline distT="0" distB="0" distL="114300" distR="114300">
            <wp:extent cx="5615305" cy="7942580"/>
            <wp:effectExtent l="0" t="0" r="4445" b="1270"/>
            <wp:docPr id="6" name="图片 6" descr="EPSON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PSON018"/>
                    <pic:cNvPicPr>
                      <a:picLocks noChangeAspect="1"/>
                    </pic:cNvPicPr>
                  </pic:nvPicPr>
                  <pic:blipFill>
                    <a:blip r:embed="rId6" cstate="print"/>
                    <a:stretch>
                      <a:fillRect/>
                    </a:stretch>
                  </pic:blipFill>
                  <pic:spPr>
                    <a:xfrm rot="10800000">
                      <a:off x="0" y="0"/>
                      <a:ext cx="5615305" cy="7942580"/>
                    </a:xfrm>
                    <a:prstGeom prst="rect">
                      <a:avLst/>
                    </a:prstGeom>
                  </pic:spPr>
                </pic:pic>
              </a:graphicData>
            </a:graphic>
          </wp:inline>
        </w:drawing>
      </w:r>
    </w:p>
    <w:p>
      <w:pPr>
        <w:tabs>
          <w:tab w:val="left" w:pos="4830"/>
        </w:tabs>
        <w:ind w:firstLine="420" w:firstLineChars="200"/>
        <w:outlineLvl w:val="0"/>
      </w:pPr>
    </w:p>
    <w:p>
      <w:pPr>
        <w:tabs>
          <w:tab w:val="left" w:pos="4830"/>
        </w:tabs>
        <w:ind w:firstLine="420" w:firstLineChars="200"/>
        <w:outlineLvl w:val="0"/>
      </w:pPr>
      <w:r>
        <w:rPr>
          <w:rFonts w:hint="eastAsia"/>
        </w:rPr>
        <w:drawing>
          <wp:inline distT="0" distB="0" distL="114300" distR="114300">
            <wp:extent cx="5615305" cy="7942580"/>
            <wp:effectExtent l="0" t="0" r="4445" b="1270"/>
            <wp:docPr id="4" name="图片 4" descr="EPSON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PSON020"/>
                    <pic:cNvPicPr>
                      <a:picLocks noChangeAspect="1"/>
                    </pic:cNvPicPr>
                  </pic:nvPicPr>
                  <pic:blipFill>
                    <a:blip r:embed="rId7" cstate="print"/>
                    <a:stretch>
                      <a:fillRect/>
                    </a:stretch>
                  </pic:blipFill>
                  <pic:spPr>
                    <a:xfrm rot="10800000">
                      <a:off x="0" y="0"/>
                      <a:ext cx="5615305" cy="7942580"/>
                    </a:xfrm>
                    <a:prstGeom prst="rect">
                      <a:avLst/>
                    </a:prstGeom>
                  </pic:spPr>
                </pic:pic>
              </a:graphicData>
            </a:graphic>
          </wp:inline>
        </w:drawing>
      </w:r>
    </w:p>
    <w:p>
      <w:pPr>
        <w:tabs>
          <w:tab w:val="left" w:pos="4830"/>
        </w:tabs>
        <w:ind w:firstLine="420" w:firstLineChars="200"/>
        <w:outlineLvl w:val="0"/>
      </w:pPr>
    </w:p>
    <w:p>
      <w:pPr>
        <w:tabs>
          <w:tab w:val="left" w:pos="4830"/>
        </w:tabs>
        <w:ind w:firstLine="420" w:firstLineChars="200"/>
        <w:outlineLvl w:val="0"/>
      </w:pPr>
      <w:r>
        <w:rPr>
          <w:rFonts w:hint="eastAsia"/>
        </w:rPr>
        <w:drawing>
          <wp:inline distT="0" distB="0" distL="114300" distR="114300">
            <wp:extent cx="5615305" cy="7942580"/>
            <wp:effectExtent l="0" t="0" r="4445" b="1270"/>
            <wp:docPr id="5" name="图片 5" descr="EPSON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PSON021"/>
                    <pic:cNvPicPr>
                      <a:picLocks noChangeAspect="1"/>
                    </pic:cNvPicPr>
                  </pic:nvPicPr>
                  <pic:blipFill>
                    <a:blip r:embed="rId8" cstate="print"/>
                    <a:stretch>
                      <a:fillRect/>
                    </a:stretch>
                  </pic:blipFill>
                  <pic:spPr>
                    <a:xfrm rot="10800000">
                      <a:off x="0" y="0"/>
                      <a:ext cx="5615305" cy="7942580"/>
                    </a:xfrm>
                    <a:prstGeom prst="rect">
                      <a:avLst/>
                    </a:prstGeom>
                  </pic:spPr>
                </pic:pic>
              </a:graphicData>
            </a:graphic>
          </wp:inline>
        </w:drawing>
      </w:r>
    </w:p>
    <w:p>
      <w:pPr>
        <w:tabs>
          <w:tab w:val="left" w:pos="4830"/>
        </w:tabs>
        <w:ind w:firstLine="420" w:firstLineChars="200"/>
        <w:outlineLvl w:val="0"/>
      </w:pPr>
    </w:p>
    <w:p>
      <w:pPr>
        <w:tabs>
          <w:tab w:val="left" w:pos="4830"/>
        </w:tabs>
        <w:ind w:firstLine="420" w:firstLineChars="200"/>
        <w:outlineLvl w:val="0"/>
      </w:pPr>
      <w:r>
        <w:rPr>
          <w:rFonts w:hint="eastAsia"/>
        </w:rPr>
        <w:drawing>
          <wp:inline distT="0" distB="0" distL="114300" distR="114300">
            <wp:extent cx="5615305" cy="7942580"/>
            <wp:effectExtent l="0" t="0" r="4445" b="1270"/>
            <wp:docPr id="7" name="图片 7" descr="EPSON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PSON022"/>
                    <pic:cNvPicPr>
                      <a:picLocks noChangeAspect="1"/>
                    </pic:cNvPicPr>
                  </pic:nvPicPr>
                  <pic:blipFill>
                    <a:blip r:embed="rId9" cstate="print"/>
                    <a:stretch>
                      <a:fillRect/>
                    </a:stretch>
                  </pic:blipFill>
                  <pic:spPr>
                    <a:xfrm rot="10800000">
                      <a:off x="0" y="0"/>
                      <a:ext cx="5615305" cy="7942580"/>
                    </a:xfrm>
                    <a:prstGeom prst="rect">
                      <a:avLst/>
                    </a:prstGeom>
                  </pic:spPr>
                </pic:pic>
              </a:graphicData>
            </a:graphic>
          </wp:inline>
        </w:drawing>
      </w:r>
    </w:p>
    <w:sectPr>
      <w:pgSz w:w="11906" w:h="16838"/>
      <w:pgMar w:top="1928" w:right="1474" w:bottom="1701"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微软雅黑"/>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- 40 -</w:t>
                          </w:r>
                          <w:r>
                            <w:rPr>
                              <w:rFonts w:hint="eastAsia"/>
                              <w:sz w:val="18"/>
                            </w:rPr>
                            <w:fldChar w:fldCharType="end"/>
                          </w:r>
                        </w:p>
                      </w:txbxContent>
                    </wps:txbx>
                    <wps:bodyPr wrap="none" lIns="0" tIns="0" rIns="0" bIns="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FNPj2NkBAACzAwAADgAAAAAAAAABACAA&#10;AAAeAQAAZHJzL2Uyb0RvYy54bWxQSwUGAAAAAAYABgBZAQAAaQ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- 40 -</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JpAF0raAQAAswMAAA4AAAAAAAAAAQAg&#10;AAAAHgEAAGRycy9lMm9Eb2MueG1sUEsFBgAAAAAGAAYAWQEAAGoFAAA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- 22 -</w:t>
                          </w:r>
                          <w:r>
                            <w:rPr>
                              <w:rFonts w:hint="eastAsia"/>
                              <w:sz w:val="18"/>
                            </w:rPr>
                            <w:fldChar w:fldCharType="end"/>
                          </w:r>
                        </w:p>
                      </w:txbxContent>
                    </wps:txbx>
                    <wps:bodyPr wrap="none" lIns="0" tIns="0" rIns="0" bIns="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CA2H4vaAQAAswMAAA4AAAAAAAAAAQAg&#10;AAAAHgEAAGRycy9lMm9Eb2MueG1sUEsFBgAAAAAGAAYAWQEAAGo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- 22 -</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A74E9"/>
    <w:multiLevelType w:val="singleLevel"/>
    <w:tmpl w:val="8DCA74E9"/>
    <w:lvl w:ilvl="0" w:tentative="0">
      <w:start w:val="1"/>
      <w:numFmt w:val="chineseCounting"/>
      <w:suff w:val="space"/>
      <w:lvlText w:val="第%1部分"/>
      <w:lvlJc w:val="left"/>
      <w:rPr>
        <w:rFonts w:hint="eastAsia"/>
      </w:rPr>
    </w:lvl>
  </w:abstractNum>
  <w:abstractNum w:abstractNumId="1">
    <w:nsid w:val="2C082B96"/>
    <w:multiLevelType w:val="singleLevel"/>
    <w:tmpl w:val="2C082B96"/>
    <w:lvl w:ilvl="0" w:tentative="0">
      <w:start w:val="10"/>
      <w:numFmt w:val="chineseCounting"/>
      <w:suff w:val="nothing"/>
      <w:lvlText w:val="%1、"/>
      <w:lvlJc w:val="left"/>
      <w:pPr>
        <w:ind w:left="-10"/>
      </w:pPr>
      <w:rPr>
        <w:rFonts w:hint="eastAsia"/>
      </w:rPr>
    </w:lvl>
  </w:abstractNum>
  <w:abstractNum w:abstractNumId="2">
    <w:nsid w:val="5971BE17"/>
    <w:multiLevelType w:val="singleLevel"/>
    <w:tmpl w:val="5971BE17"/>
    <w:lvl w:ilvl="0" w:tentative="0">
      <w:start w:val="1"/>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C45"/>
    <w:rsid w:val="001B7213"/>
    <w:rsid w:val="001E14AF"/>
    <w:rsid w:val="00225814"/>
    <w:rsid w:val="00294F50"/>
    <w:rsid w:val="0031442B"/>
    <w:rsid w:val="00340562"/>
    <w:rsid w:val="00386A9F"/>
    <w:rsid w:val="00387B5F"/>
    <w:rsid w:val="003B1C45"/>
    <w:rsid w:val="004B06EC"/>
    <w:rsid w:val="004D16BD"/>
    <w:rsid w:val="005660F6"/>
    <w:rsid w:val="00667CDA"/>
    <w:rsid w:val="00795A88"/>
    <w:rsid w:val="00817445"/>
    <w:rsid w:val="00951E09"/>
    <w:rsid w:val="00A973B3"/>
    <w:rsid w:val="00AD24C8"/>
    <w:rsid w:val="00C03C08"/>
    <w:rsid w:val="00D70915"/>
    <w:rsid w:val="00F940CA"/>
    <w:rsid w:val="00FD5B2F"/>
    <w:rsid w:val="03106797"/>
    <w:rsid w:val="032B04D4"/>
    <w:rsid w:val="03AA670D"/>
    <w:rsid w:val="04431134"/>
    <w:rsid w:val="04692636"/>
    <w:rsid w:val="0A8D7ACB"/>
    <w:rsid w:val="0C346773"/>
    <w:rsid w:val="0C537908"/>
    <w:rsid w:val="0EA14D5B"/>
    <w:rsid w:val="0EDC43BE"/>
    <w:rsid w:val="14B14542"/>
    <w:rsid w:val="159B1BC7"/>
    <w:rsid w:val="199B59F9"/>
    <w:rsid w:val="19B175FA"/>
    <w:rsid w:val="19B7638D"/>
    <w:rsid w:val="1A0D3AC7"/>
    <w:rsid w:val="1B187D8C"/>
    <w:rsid w:val="1C1152B5"/>
    <w:rsid w:val="1D341A14"/>
    <w:rsid w:val="1DD010C5"/>
    <w:rsid w:val="1E5700CB"/>
    <w:rsid w:val="1E8B53C7"/>
    <w:rsid w:val="1F3E7B00"/>
    <w:rsid w:val="1FA06EAC"/>
    <w:rsid w:val="21454913"/>
    <w:rsid w:val="21896423"/>
    <w:rsid w:val="21DC286A"/>
    <w:rsid w:val="2278340C"/>
    <w:rsid w:val="227A0E3C"/>
    <w:rsid w:val="23175167"/>
    <w:rsid w:val="23213300"/>
    <w:rsid w:val="240E06F2"/>
    <w:rsid w:val="28615A1C"/>
    <w:rsid w:val="2A0C64C1"/>
    <w:rsid w:val="2D5347F6"/>
    <w:rsid w:val="31B50B4B"/>
    <w:rsid w:val="331E58E9"/>
    <w:rsid w:val="335235E2"/>
    <w:rsid w:val="36297CB5"/>
    <w:rsid w:val="37C01B36"/>
    <w:rsid w:val="3E4A678D"/>
    <w:rsid w:val="3E4C25CA"/>
    <w:rsid w:val="3F843EE9"/>
    <w:rsid w:val="40E64C72"/>
    <w:rsid w:val="42C3706E"/>
    <w:rsid w:val="433C1402"/>
    <w:rsid w:val="43A45A65"/>
    <w:rsid w:val="43CD37E2"/>
    <w:rsid w:val="44024EEA"/>
    <w:rsid w:val="4547581A"/>
    <w:rsid w:val="45C04CD2"/>
    <w:rsid w:val="46203E4C"/>
    <w:rsid w:val="4701142B"/>
    <w:rsid w:val="497A2108"/>
    <w:rsid w:val="4B894828"/>
    <w:rsid w:val="4CB07844"/>
    <w:rsid w:val="4E151470"/>
    <w:rsid w:val="4EFC09E4"/>
    <w:rsid w:val="503764BE"/>
    <w:rsid w:val="5405748B"/>
    <w:rsid w:val="54125896"/>
    <w:rsid w:val="54705933"/>
    <w:rsid w:val="563B7249"/>
    <w:rsid w:val="57335B03"/>
    <w:rsid w:val="587F2E51"/>
    <w:rsid w:val="5BBE5672"/>
    <w:rsid w:val="5D0B7894"/>
    <w:rsid w:val="5DE61462"/>
    <w:rsid w:val="5DFB1AA1"/>
    <w:rsid w:val="5E9A1939"/>
    <w:rsid w:val="5F324EAD"/>
    <w:rsid w:val="5FAA13DB"/>
    <w:rsid w:val="605354DC"/>
    <w:rsid w:val="621F28F0"/>
    <w:rsid w:val="62380EEF"/>
    <w:rsid w:val="62877763"/>
    <w:rsid w:val="62BD49B5"/>
    <w:rsid w:val="631E1FFE"/>
    <w:rsid w:val="63E36A65"/>
    <w:rsid w:val="64437A22"/>
    <w:rsid w:val="6571565B"/>
    <w:rsid w:val="66EB1229"/>
    <w:rsid w:val="67A3417F"/>
    <w:rsid w:val="6A6622E7"/>
    <w:rsid w:val="6CF026EF"/>
    <w:rsid w:val="6FB7247C"/>
    <w:rsid w:val="70597390"/>
    <w:rsid w:val="71043448"/>
    <w:rsid w:val="71FE4EA6"/>
    <w:rsid w:val="72033FB2"/>
    <w:rsid w:val="73255D90"/>
    <w:rsid w:val="795B70DD"/>
    <w:rsid w:val="7B07617A"/>
    <w:rsid w:val="7C2932B3"/>
    <w:rsid w:val="7F0A5B87"/>
    <w:rsid w:val="7F7E3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character" w:styleId="7">
    <w:name w:val="annotation reference"/>
    <w:basedOn w:val="6"/>
    <w:qFormat/>
    <w:uiPriority w:val="0"/>
    <w:rPr>
      <w:sz w:val="21"/>
      <w:szCs w:val="21"/>
    </w:rPr>
  </w:style>
  <w:style w:type="character" w:customStyle="1" w:styleId="8">
    <w:name w:val="font11"/>
    <w:basedOn w:val="6"/>
    <w:qFormat/>
    <w:uiPriority w:val="0"/>
    <w:rPr>
      <w:rFonts w:hint="eastAsia" w:ascii="宋体" w:hAnsi="宋体" w:eastAsia="宋体" w:cs="宋体"/>
      <w:color w:val="000000"/>
      <w:sz w:val="20"/>
      <w:szCs w:val="20"/>
      <w:u w:val="none"/>
    </w:rPr>
  </w:style>
  <w:style w:type="character" w:customStyle="1" w:styleId="9">
    <w:name w:val="font01"/>
    <w:basedOn w:val="6"/>
    <w:qFormat/>
    <w:uiPriority w:val="0"/>
    <w:rPr>
      <w:rFonts w:hint="eastAsia" w:ascii="宋体" w:hAnsi="宋体" w:eastAsia="宋体" w:cs="宋体"/>
      <w:color w:val="000000"/>
      <w:sz w:val="22"/>
      <w:szCs w:val="22"/>
      <w:u w:val="none"/>
    </w:rPr>
  </w:style>
  <w:style w:type="character" w:customStyle="1" w:styleId="10">
    <w:name w:val="font51"/>
    <w:basedOn w:val="6"/>
    <w:qFormat/>
    <w:uiPriority w:val="0"/>
    <w:rPr>
      <w:rFonts w:hint="eastAsia" w:ascii="宋体" w:hAnsi="宋体" w:eastAsia="宋体" w:cs="宋体"/>
      <w:color w:val="000000"/>
      <w:sz w:val="24"/>
      <w:szCs w:val="24"/>
      <w:u w:val="none"/>
    </w:rPr>
  </w:style>
  <w:style w:type="character" w:customStyle="1" w:styleId="11">
    <w:name w:val="font41"/>
    <w:basedOn w:val="6"/>
    <w:qFormat/>
    <w:uiPriority w:val="0"/>
    <w:rPr>
      <w:rFonts w:hint="eastAsia" w:ascii="宋体" w:hAnsi="宋体" w:eastAsia="宋体" w:cs="宋体"/>
      <w:color w:val="000000"/>
      <w:sz w:val="24"/>
      <w:szCs w:val="24"/>
      <w:u w:val="none"/>
    </w:rPr>
  </w:style>
  <w:style w:type="character" w:customStyle="1" w:styleId="12">
    <w:name w:val="font21"/>
    <w:basedOn w:val="6"/>
    <w:qFormat/>
    <w:uiPriority w:val="0"/>
    <w:rPr>
      <w:rFonts w:hint="eastAsia" w:ascii="宋体" w:hAnsi="宋体" w:eastAsia="宋体" w:cs="宋体"/>
      <w:color w:val="000000"/>
      <w:sz w:val="20"/>
      <w:szCs w:val="20"/>
      <w:u w:val="none"/>
    </w:rPr>
  </w:style>
  <w:style w:type="character" w:customStyle="1" w:styleId="13">
    <w:name w:val="批注框文本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9311</Words>
  <Characters>5676</Characters>
  <Lines>47</Lines>
  <Paragraphs>29</Paragraphs>
  <TotalTime>351</TotalTime>
  <ScaleCrop>false</ScaleCrop>
  <LinksUpToDate>false</LinksUpToDate>
  <CharactersWithSpaces>14958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Amant 丹</cp:lastModifiedBy>
  <cp:lastPrinted>2021-09-02T00:45:00Z</cp:lastPrinted>
  <dcterms:modified xsi:type="dcterms:W3CDTF">2021-09-26T08:20:42Z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CA6D1614240E4E1FA96CA52D4FD3990B</vt:lpwstr>
  </property>
</Properties>
</file>